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0661f" w14:textId="12066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Оралмандардың 2008 жылға арналған көшіп келу квотасын бөлу туралы</w:t>
      </w:r>
    </w:p>
    <w:p>
      <w:pPr>
        <w:spacing w:after="0"/>
        <w:ind w:left="0"/>
        <w:jc w:val="both"/>
      </w:pPr>
      <w:r>
        <w:rPr>
          <w:rFonts w:ascii="Times New Roman"/>
          <w:b w:val="false"/>
          <w:i w:val="false"/>
          <w:color w:val="000000"/>
          <w:sz w:val="28"/>
        </w:rPr>
        <w:t>Қазақстан Республикасы Үкіметінің 2008 жылғы 15 ақпандағы N 137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"Халықтың көші-қоны туралы" Қазақстан Республикасының 1997 жылғы 13 желтоқсандағы Заңына және "Оралмандардың 2008 жылға арналған көшіп келу квотасы туралы" Қазақстан Республикасы Президентінің 2007 жылғы 30 желтоқсандағы N 506 
</w:t>
      </w:r>
      <w:r>
        <w:rPr>
          <w:rFonts w:ascii="Times New Roman"/>
          <w:b w:val="false"/>
          <w:i w:val="false"/>
          <w:color w:val="000000"/>
          <w:sz w:val="28"/>
        </w:rPr>
        <w:t xml:space="preserve"> Жарлығына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Қосымшаға сәйкес оралмандардың 2008 жылға арналған көшіп келу квотасы облыстар (республикалық маңызы бар қала, астана) бойынша бөлінсін.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 министрлігі:
</w:t>
      </w:r>
      <w:r>
        <w:br/>
      </w:r>
      <w:r>
        <w:rPr>
          <w:rFonts w:ascii="Times New Roman"/>
          <w:b w:val="false"/>
          <w:i w:val="false"/>
          <w:color w:val="000000"/>
          <w:sz w:val="28"/>
        </w:rPr>
        <w:t>
      1) облыстар, республикалық маңызы бар қала және астана әкімдерімен бірлесіп, көшіп келу квотасына енгізілген оралмандарды қабылдауды, жайластыруды және оларды орналастыру орындарында бейімдеуге арналған жағдайды 2008 жылға арналған республикалық бюджетте осы мақсаттарға көзделген қаражат шегінде қамтамасыз етсін;
</w:t>
      </w:r>
      <w:r>
        <w:br/>
      </w:r>
      <w:r>
        <w:rPr>
          <w:rFonts w:ascii="Times New Roman"/>
          <w:b w:val="false"/>
          <w:i w:val="false"/>
          <w:color w:val="000000"/>
          <w:sz w:val="28"/>
        </w:rPr>
        <w:t>
      2) Қазақстан Республикасы Сыртқы істер министрлігімен бірлесіп, мемлекеттің қаржылық қолдауынсыз өзінің тарихи отанына келе алмайтын ұлты қазақ адамдардың ұйымдастырылған көшіп келуін жүзеге асырсын.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Еңбек және халықты әлеуметтік қорғау министрлігі осы қаулының орындалуы туралы есептерді 2008 жылғы 1 шілдеге және 2009 жылғы 1 ақпанға Қазақстан Республикасының Үкіметіне ұсынсын.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15 ақпандағы
</w:t>
      </w:r>
      <w:r>
        <w:br/>
      </w:r>
      <w:r>
        <w:rPr>
          <w:rFonts w:ascii="Times New Roman"/>
          <w:b w:val="false"/>
          <w:i w:val="false"/>
          <w:color w:val="000000"/>
          <w:sz w:val="28"/>
        </w:rPr>
        <w:t>
N 137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Қосымшаға өзгерту енгізілді - Қазақстан Республикасы Үкіметінің 2008.11.03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Оралмандардың 2008 жылға арналған көшіп келу квотасы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3"/>
        <w:gridCol w:w="3373"/>
      </w:tblGrid>
      <w:tr>
        <w:trPr>
          <w:trHeight w:val="90" w:hRule="atLeast"/>
        </w:trPr>
        <w:tc>
          <w:tcPr>
            <w:tcW w:w="5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Облыстар мен қалаларды
</w:t>
            </w:r>
            <w:r>
              <w:rPr>
                <w:rFonts w:ascii="Times New Roman"/>
                <w:b w:val="false"/>
                <w:i w:val="false"/>
                <w:color w:val="000000"/>
                <w:sz w:val="20"/>
              </w:rPr>
              <w:t>
</w:t>
            </w:r>
            <w:r>
              <w:rPr>
                <w:rFonts w:ascii="Times New Roman"/>
                <w:b/>
                <w:i w:val="false"/>
                <w:color w:val="000000"/>
                <w:sz w:val="20"/>
              </w:rPr>
              <w:t>
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Отбасы саны
</w:t>
            </w:r>
            <w:r>
              <w:rPr>
                <w:rFonts w:ascii="Times New Roman"/>
                <w:b w:val="false"/>
                <w:i w:val="false"/>
                <w:color w:val="000000"/>
                <w:sz w:val="20"/>
              </w:rPr>
              <w:t>
</w:t>
            </w:r>
          </w:p>
        </w:tc>
      </w:tr>
      <w:tr>
        <w:trPr>
          <w:trHeight w:val="90" w:hRule="atLeast"/>
        </w:trPr>
        <w:tc>
          <w:tcPr>
            <w:tcW w:w="5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908
</w:t>
            </w:r>
          </w:p>
        </w:tc>
      </w:tr>
      <w:tr>
        <w:trPr>
          <w:trHeight w:val="90" w:hRule="atLeast"/>
        </w:trPr>
        <w:tc>
          <w:tcPr>
            <w:tcW w:w="5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950
</w:t>
            </w:r>
          </w:p>
        </w:tc>
      </w:tr>
      <w:tr>
        <w:trPr>
          <w:trHeight w:val="90" w:hRule="atLeast"/>
        </w:trPr>
        <w:tc>
          <w:tcPr>
            <w:tcW w:w="5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1647
</w:t>
            </w:r>
          </w:p>
        </w:tc>
      </w:tr>
      <w:tr>
        <w:trPr>
          <w:trHeight w:val="90" w:hRule="atLeast"/>
        </w:trPr>
        <w:tc>
          <w:tcPr>
            <w:tcW w:w="5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r>
      <w:tr>
        <w:trPr>
          <w:trHeight w:val="90" w:hRule="atLeast"/>
        </w:trPr>
        <w:tc>
          <w:tcPr>
            <w:tcW w:w="5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
</w:t>
            </w:r>
          </w:p>
        </w:tc>
      </w:tr>
      <w:tr>
        <w:trPr>
          <w:trHeight w:val="90" w:hRule="atLeast"/>
        </w:trPr>
        <w:tc>
          <w:tcPr>
            <w:tcW w:w="5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1498
</w:t>
            </w:r>
          </w:p>
        </w:tc>
      </w:tr>
      <w:tr>
        <w:trPr>
          <w:trHeight w:val="90" w:hRule="atLeast"/>
        </w:trPr>
        <w:tc>
          <w:tcPr>
            <w:tcW w:w="5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90" w:hRule="atLeast"/>
        </w:trPr>
        <w:tc>
          <w:tcPr>
            <w:tcW w:w="5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
</w:t>
            </w:r>
          </w:p>
        </w:tc>
      </w:tr>
      <w:tr>
        <w:trPr>
          <w:trHeight w:val="90" w:hRule="atLeast"/>
        </w:trPr>
        <w:tc>
          <w:tcPr>
            <w:tcW w:w="5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90" w:hRule="atLeast"/>
        </w:trPr>
        <w:tc>
          <w:tcPr>
            <w:tcW w:w="5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r>
      <w:tr>
        <w:trPr>
          <w:trHeight w:val="90" w:hRule="atLeast"/>
        </w:trPr>
        <w:tc>
          <w:tcPr>
            <w:tcW w:w="5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2180
</w:t>
            </w:r>
          </w:p>
        </w:tc>
      </w:tr>
      <w:tr>
        <w:trPr>
          <w:trHeight w:val="90" w:hRule="atLeast"/>
        </w:trPr>
        <w:tc>
          <w:tcPr>
            <w:tcW w:w="5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90" w:hRule="atLeast"/>
        </w:trPr>
        <w:tc>
          <w:tcPr>
            <w:tcW w:w="5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
</w:t>
            </w:r>
          </w:p>
        </w:tc>
      </w:tr>
      <w:tr>
        <w:trPr>
          <w:trHeight w:val="90" w:hRule="atLeast"/>
        </w:trPr>
        <w:tc>
          <w:tcPr>
            <w:tcW w:w="5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2712
</w:t>
            </w:r>
          </w:p>
        </w:tc>
      </w:tr>
      <w:tr>
        <w:trPr>
          <w:trHeight w:val="90" w:hRule="atLeast"/>
        </w:trPr>
        <w:tc>
          <w:tcPr>
            <w:tcW w:w="5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r>
      <w:tr>
        <w:trPr>
          <w:trHeight w:val="90" w:hRule="atLeast"/>
        </w:trPr>
        <w:tc>
          <w:tcPr>
            <w:tcW w:w="5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
</w:t>
            </w:r>
          </w:p>
        </w:tc>
      </w:tr>
      <w:tr>
        <w:trPr>
          <w:trHeight w:val="90" w:hRule="atLeast"/>
        </w:trPr>
        <w:tc>
          <w:tcPr>
            <w:tcW w:w="5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w:t>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15000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