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18d7" w14:textId="ac71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27 наурыздағы N 292 Қаулысы</w:t>
      </w:r>
    </w:p>
    <w:p>
      <w:pPr>
        <w:spacing w:after="0"/>
        <w:ind w:left="0"/>
        <w:jc w:val="both"/>
      </w:pPr>
      <w:bookmarkStart w:name="z1" w:id="0"/>
      <w:r>
        <w:rPr>
          <w:rFonts w:ascii="Times New Roman"/>
          <w:b w:val="false"/>
          <w:i w:val="false"/>
          <w:color w:val="000000"/>
          <w:sz w:val="28"/>
        </w:rPr>
        <w:t xml:space="preserve">
      Ауғанстан Ислам Республикасында қалыптасқан ауыр экономикалық және әлеуметтік ахуалға байланысты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заңнамада белгіленген тәртіппен Қазақстан Республикасы Ауыл шаруашылығы министрлігіне азық-түліктік бидайдың құнын және ізгілік жүгін сақтау, тасымалдау және Хайратон станциясына (Ауғанстан Ислам Республикасы) дейін жеткізу жөніндегі шығындарды өтеуге 2008 жылға арналған республикалық бюджетте көзделген Қазақстан Республикасы Үкіметінің төтенше резервінен Қазақстан Республикасы Ұлттық Банкі берілетін күнге белгілеген бағам бойынша 500000 (бес жүз мың) АҚШ долларына баламалы сомада қаражат бөлсін.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Ауғанстан Ислам Республикасына ресми ізгілік көмек көрсету үшін мемлекеттік сатылатын астық ресурстарынан 1913 (бір мың тоғыз жүз он үш) тонна азық-түліктік бидайды тиеп жөнелтуді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Ауғанстан Ислам Республикасына ізгілік жүгін тасымалдау және жеткізу үшін жылжымалы құрамды уақтылы беруді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Сыртқы істер министрлігі ізгілік көмекті алушыны белгілесін және көмек көрсету жөніндегі шараларды үйлестіруді жүзеге асырсын.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 бөлінген қаражаттың мақсатты пайдаланылуын бақылауды белгіленген тәртіппен қамтамасыз етсін.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