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fac4" w14:textId="e3ef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18 маусымдағы N 594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елорданың 10 жылдығына арналған мерекелік іс-шаралар кезінде қоғамдық тәртіпті сақтауды және ЕҚЫҰ Парламенттік Ассамблеясының жыл сайынғы 17-ші сессиясына қатысушылар мен қонақтардың қоғамдық қауіпсіздігін қамтамасыз ету үшін 2008 жылға арналған республикалық бюджетте Қазақстан Республикасы Үкіметінің шұғыл шығындарға көзделген резервінен 41768800 (қырық бір миллион жеті жүз алпыс сегіз мың сегіз жүз) теңге сомасында қаражат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2008.12.18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