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4dcf" w14:textId="6b84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N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r>
        <w:br/>
      </w:r>
      <w:r>
        <w:rPr>
          <w:rFonts w:ascii="Times New Roman"/>
          <w:b w:val="false"/>
          <w:i w:val="false"/>
          <w:color w:val="000000"/>
          <w:sz w:val="28"/>
        </w:rPr>
        <w:t xml:space="preserve">
      2-бөлімде: </w:t>
      </w:r>
      <w:r>
        <w:br/>
      </w:r>
      <w:r>
        <w:rPr>
          <w:rFonts w:ascii="Times New Roman"/>
          <w:b w:val="false"/>
          <w:i w:val="false"/>
          <w:color w:val="000000"/>
          <w:sz w:val="28"/>
        </w:rPr>
        <w:t xml:space="preserve">
      "Қазақстан Республикасы Ішкі істер министрлігіне ведомстволық бағыныстағы мемлекеттік мекемелер, оның ішінде:" деген жолдың 3-бағанында "46379" деген сандар "46400"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"Ішкі әскерлердің құрамалары мен бөлімдері, оның ішінде мерзімді қызметтегі әскери қызметшілер: олардың ішінде Ішкі әскерлердің жоғары әскери училищесінің курсанттары" деген жолдың 3-бағанында "23126" деген сандар "23147"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