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fe6e" w14:textId="5b4f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Қайтыс болған немесе қаза тапқан судьялар мен судья қызметінен зейнеткерлікке шыққан зейнеткерлерді жерлеу үшін біржолғы ақшалай өтемақы төлеу ережесін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ақпандағы N 156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сот жүйесі мен судьяларының мәртебесі туралы" Қазақстан Республикасының 2000 жылғы 25 желтоқсандағы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Қайтыс болған немесе қаза тапқан судьялар мен судья қызметінен зейнеткерлікке шыққан зейнеткерлерді жерлеу үшін біржолғы ақшалай өтемақы төлеу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Қайтыс болған немесе қаза тапқан судьялар мен судья қызметінен зейнеткерлікке шыққан зейнеткерлерді жерлеу үшін біржолғы ақшалай өтемақы төлеу ережесі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Қайтыс болған немесе қаза тапқан судьялар мен судья қызметінен зейнеткерлікке шыққан зейнеткерлерді жерлеу үшін біржолғы ақшалай өтемақы төлеу ережесі (бұдан әрі - Ереже) "Қазақстан Республикасының сот жүйесі мен судьяларының мәртебесі туралы" Қазақстан Республикасының 2000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әзірленді және қайтыс болған немесе қаза тапқан судьялар мен судья қызметінен зейнеткерлікке шыққан зейнеткерлерді жерлеу үшін біржолғы ақшалай өтемақы (бұдан әрі - өтемақы) төлеу тәртібін айқындайды.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Өтемақы алу үшін оны алуға құқығы бар адамдар Қазақстан Республикасы Жоғарғы Сотының судьясы немесе оның судьясы қызметінен зейнеткерлікке шыққан зейнеткер қаза тапқан (қайтыс болған) жағдайда – Қазақстан Республикасы Жоғарғы Сотының кадр қызметіне, жергілікті немесе басқа соттың судьясы немесе оның судьясы қызметінен зейнеткерлікке шыққан зейнеткер қаза тапқан (қайтыс болған) жағдайда – облыстардың, республикалық маңызы бар қалалар мен астананың соттар әкімшілерінің кадр қызметіне (бұдан әрі – кадр қызметі) осы Ережеге 1-қосымшаға сәйкес өтінішпен мынадай құжаттарды ұсына отырып өтініш береді: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өтемақыны алушының жеке басын куәландыратын құжаттың көшірмесі;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өтемақы алушының СТН ((ЖСН) көшірмесі;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хал актілерін жазу органдарының қайтыс болуы туралы куәлігінің нотариалды куәландырылған көшірмесі;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кәмелетке толмаған өтемақы алушының тууы туралы куәлігінің көшірмесі;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некеге тұру туралы куәлігінің не сот органдарының алименттер туралы атқарушы құжатының не қамқоршылық туралы құжаттың нотариалды куәландырылған көшірмесі не мұрагерлікке құқығы туралы куәлігінің нотариалды куәландырылған көшірмесі;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өтемақы алушының жеке шотының немесе карт-шотының көшірмесі.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істеп жүрген судья қайтыс болған кезде кадр қызметі міндетті түрде өтемақы алуға құқығы бар тұлғаларды олардың жоғарыда көрсетілген құжаттар беру қажеттігі туралы жазбаша хабарлайды.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– ҚР Үкіметінің 11.10.2019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Кадр қызметі осы Ереженің 2-тармағында көрсетілген құжаттардың толықтығы мен дұрыс ресімделуін тексереді және өтінішті осы Ережеге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жерлеу үшін біржолғы ақшалай өтемақы төлеуге арналған өтініштерді тіркеу журналына тіркейді.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Өтемақы алуға құқығы жоқ тұлға өтініш берген, оны алуға құқықтық негіздер болмаған, тиісті құжаттар толық ұсынылмаған және (немесе) олар дұрыс толтырылмаған жағдайда өтініш тіркелмейді, ол туралы өтініш берушіге жазбаша хабарланады.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 қызметі өтінішті журналға тіркеп, 10 күнтізбелік күн ішінде өтемақы алушыға іс қалыптастырады және оны тиісті қаржы қызметіне жібереді.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Қаржы қызметі өтемақы сомасы туралы есепті іске қоса отырып, 10 күнтізбелік күннен аспайтын мерзімде: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Қазақстан Республикасы Жоғарғы Сотының судьясы немесе судья қызметінен зейнеткерлікке шыққан зейнеткер қаза тапқан (қайтыс болған) жағдайда Қазақстан Республикасы Жоғарғы Сотының Төрағасына;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жергілікті немесе басқа соттың судьясы немесе судья қызметінен зейнеткерлікке шыққан зейнеткер қаза тапқан (қайтыс болған) жағдайда тиісті соттар әкімшісіне өтемақы төлеу туралы шешім қабылдау үшін істі ұсынады.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Өтемақы төлеуді қаржы қызметі алушының банктердегі не Қазақстан Республикасы Ұлттық Банкінің банктік операциялардың тиісті түрлерін жүзеге асыруға лицензиялары бар ұйымдардағы жеке шотына немесе карт-шотына аудару жолымен өтініш берген сәттен бастап екі ай ішінде жүзеге асырады.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Кәмелетке толмаған өтемақы алушыларға өтемақы төлеу Қазақстан Республикасы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23-баптарында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көзделген ерекшеліктерді ескере отырып жүргізіледі.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немесе қаза тапқан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судьялар мен судья қызметінен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зейнеткерлікке шыққан зейнеткерлерді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үшін біржолғы ақшалай 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ережесін бекіту туралы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Кімге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(уәкілетті орган басшысының Т.А.Ә.)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мекен-жайында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тұратын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(өтініш берушінің Т.А.Ә.)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берушінің СТН 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Жерлеуге біржолғы ақшалай өтемақы төлеуге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Сізден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(қайтыс болған адамның Т.А.Ә.)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қайтыс болуына байланысты маған жерлеуге біржолғы ақшалай өтемақы төлеуіңізді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Қайтыс болған күні: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Маған тиесілі соманы аударуыңызды сұраймын: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банктің атауы: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банктің СТН: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банктің БСК: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банктің ЖСК: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жеке (карта) шотының нөмірі:______________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Өтінішке мынадай құжаттарды қоса беріп отырмын: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Толтырылған күні: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Өтініш берушінің қолы: 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немесе қаза тапқан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судьялар мен судья қызметінен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зейнеткерлікке шыққан зейнеткерлерді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үшін біржолғы ақшалай 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ережесін бекіту туралы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Жерлеуге біржолғы ақшалай өтемақы төлеуге</w:t>
      </w:r>
      <w:r>
        <w:br/>
      </w:r>
      <w:r>
        <w:rPr>
          <w:rFonts w:ascii="Times New Roman"/>
          <w:b/>
          <w:i w:val="false"/>
          <w:color w:val="000000"/>
        </w:rPr>
        <w:t>арналған өтініштерді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 келіп түскен күн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Қайтыс болған адамның Т.А.Ә.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өтемақы алушының Т.А.Ә. және оның мекен-жайы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өтемақы төлеу үшін негіздеме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 нәтижесі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өтемақы сомасы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құжатының нөмірі мен күні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тарту себебі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