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57d6" w14:textId="56a5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14 сәуірдегі N 355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6 мамырдағы N 637 Қаулысы. Күші жойылды - ҚР Үкіметінің 2012 жылғы 19 қаңтардағы № 133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2012.01.19 </w:t>
      </w:r>
      <w:r>
        <w:rPr>
          <w:rFonts w:ascii="Times New Roman"/>
          <w:b w:val="false"/>
          <w:i w:val="false"/>
          <w:color w:val="ff0000"/>
          <w:sz w:val="28"/>
        </w:rPr>
        <w:t>№ 133</w:t>
      </w:r>
      <w:r>
        <w:rPr>
          <w:rFonts w:ascii="Times New Roman"/>
          <w:b w:val="false"/>
          <w:i w:val="false"/>
          <w:color w:val="ff0000"/>
          <w:sz w:val="28"/>
        </w:rPr>
        <w:t xml:space="preserve"> (2012.01.01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кеден заңнамасына сәйкес айқындалған, "Еркін қойма" кеден режимі қолданылатын аумақта өндірілген және Қазақстан Республикасы кеден аумағының қалған бөлігіне сатылатын, сату бойынша айналымдар қосылған құн салығынан босатылатын қазақстандық тауарлардың тізбесін бекіту туралы" Қазақстан Республикасы Үкіметінің 2005 жылғы 14 сәуірдегі N 355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2005 ж., N 16, 193-құжат) мынадай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Республикасының кеден заңнамасына сәйкес айқындалған, "Еркін қойма" кеден режимі қолданылатын аумақта өндірілген және Қазақстан Республикасы кеден аумағының қалған бөлігіне сатылатын, сату бойынша айналымдар қосылған құн салығынан босатылатын қазақстандық тауарлардың тізбесі: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реттік нөмірлері 37, 38, 39, 40, 41, 42, 43, 44, 45-жолдармен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353"/>
        <w:gridCol w:w="3533"/>
        <w:gridCol w:w="243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Оқ-дәрі контейнерлері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7326 90 980 0-ден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28.75.27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локациялық станциялар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8705 90 900 0-ден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34.10.54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Танкілер және басқа қаружарақтарымен немесе қаружарақтарсыз жауынгерлік өзі жүретін брондалған көлік құралдары және оның бөліктері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8710 00 000 0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29.60.11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мақсаттағы зымырандардың старттық кешендеріне арналған жабдық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8805 10 100 0-ден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 жүретін артиллериялық қару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9301 11 000 0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Зымырандық ату қондырғылары және ұқсас ату қондырғылары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9301 20 000 0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Зымырандық ату қондырғыларынан басқа, соғыс қару-жарақтары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9301 90 000 0-ден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әскери мақсаттарға арналған оқ-дәрілер, зымырандар мен снарядтар және олардың бөліктері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9306 90 100 0-ден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29.60.14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оқ-дәрілер және олардың бөліктері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9306 90 900 0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29.60.14 </w:t>
            </w:r>
          </w:p>
        </w:tc>
      </w:tr>
    </w:tbl>
    <w:p>
      <w:pPr>
        <w:spacing w:after="0"/>
        <w:ind w:left="0"/>
        <w:jc w:val="both"/>
      </w:pPr>
      <w:r>
        <w:rPr>
          <w:rFonts w:ascii="Times New Roman"/>
          <w:b w:val="false"/>
          <w:i w:val="false"/>
          <w:color w:val="000000"/>
          <w:sz w:val="28"/>
        </w:rPr>
        <w:t xml:space="preserve">". </w:t>
      </w:r>
    </w:p>
    <w:bookmarkStart w:name="z4" w:id="2"/>
    <w:p>
      <w:pPr>
        <w:spacing w:after="0"/>
        <w:ind w:left="0"/>
        <w:jc w:val="both"/>
      </w:pPr>
      <w:r>
        <w:rPr>
          <w:rFonts w:ascii="Times New Roman"/>
          <w:b w:val="false"/>
          <w:i w:val="false"/>
          <w:color w:val="000000"/>
          <w:sz w:val="28"/>
        </w:rPr>
        <w:t xml:space="preserve">
      2. Осы қаулы 2010 жылғы 1 қаңтардан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