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4365" w14:textId="6814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30 сәуірдегі № 351 және 2010 жылғы 7 сәуірдегі № 286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30 желтоқсандағы № 1482 Қаулысы. Күші жойылды - Қазақстан Республикасы Үкіметінің 2011 жылғы 31 қазандағы № 1236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2011.10.31 </w:t>
      </w:r>
      <w:r>
        <w:rPr>
          <w:rFonts w:ascii="Times New Roman"/>
          <w:b w:val="false"/>
          <w:i w:val="false"/>
          <w:color w:val="ff0000"/>
          <w:sz w:val="28"/>
        </w:rPr>
        <w:t>№ 1236</w:t>
      </w:r>
      <w:r>
        <w:rPr>
          <w:rFonts w:ascii="Times New Roman"/>
          <w:b w:val="false"/>
          <w:i w:val="false"/>
          <w:color w:val="ff0000"/>
          <w:sz w:val="28"/>
        </w:rPr>
        <w:t xml:space="preserve"> (алғашқы ресми жарияланған күнінен бастап қолданысқа енгiзiледi)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2011.04.05 </w:t>
      </w:r>
      <w:r>
        <w:rPr>
          <w:rFonts w:ascii="Times New Roman"/>
          <w:b w:val="false"/>
          <w:i w:val="false"/>
          <w:color w:val="000000"/>
          <w:sz w:val="28"/>
        </w:rPr>
        <w:t>№ 370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«Ұлттық басқарушы холдингтердің, ұлттық холдингтердің және жарғылық капиталына мемлекет қатысатын ұлттық компаниялардың даму стратегиялары мен даму жоспарларын әзірлеу, бекіту және олардың іске асырылуын бағалау ережесін бекіту туралы» Қазақстан Республикасы Үкіметінің 2010 жылғы 7 сәуірдегі № 286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2010 ж., № 29, 220-құжат):</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Ұлттық басқарушы холдингтердің, ұлттық холдингтердің және жарғылық капиталына мемлекет қатысатын ұлттық компаниялардың мемлекеттік акциялар пакетін иелену және пайдалану құқығын жүзеге асыратын мемлекеттік органдар, «Самұрық-Қазына» ұлттық әл-ауқат қоры» акционерлік қоғамы Даму жоспары бекітілген күннен бастап 5 жұмыс күні ішінде Ұлттық басқарушы холдингтердің, ұлттық холдингтердің және жарғылық капиталына мемлекет қатысатын ұлттық компаниялардың даму жоспарларын әзірлеу, бекіту және олардың іске асырылуын бағалау ережесінде белгіленген тәртіппен Мемлекеттік кәсіпорындардың және мекемелердің, жарғылық капиталына мемлекет қатысатын заңды тұлғалар тізілімінің құрылымына қосу үшін даму жоспарларын ұсынуды қамтамасыз етсін.»;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Ұлттық басқарушы холдингтердің, ұлттық холдингтердің және жарғылық капиталына мемлекет қатысатын ұлттық компаниялардың даму стратегияларын әзірлеу, бекіту және олардың іске асырылуын бағалау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алтыншы бөлікпен толықтырылсын:</w:t>
      </w:r>
      <w:r>
        <w:br/>
      </w:r>
      <w:r>
        <w:rPr>
          <w:rFonts w:ascii="Times New Roman"/>
          <w:b w:val="false"/>
          <w:i w:val="false"/>
          <w:color w:val="000000"/>
          <w:sz w:val="28"/>
        </w:rPr>
        <w:t>
      «Компанияның даму стратегиясы Компанияның қаржылық тұрақтылығының, соның ішінде жиынтық борышының деңгейін және валюта позицияларын сипаттайтын көрсеткіштерін қамтуға тиіс»;</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Ұлттық басқарушы холдингтердің, ұлттық холдингтердің және жарғылық капиталына мемлекет қатысатын ұлттық компаниялардың даму жоспарларын әзірлеу, бекіту және олардың іске асырылуын бағалау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«дивидендтер» деген сөз «дивидендтерді, қаржылық тұрақтылық көрсеткіштері» деген сөздермен ауыстырылсын;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«Компанияның даму жоспарында қолданылатын қаржылық тұрақтылық көрсеткіштерінің толық тізбесі мен нысаналы мәндерін, соның ішінде акциялары (қатысу үлестері) Компанияға заңды тұлғалар қабылдайтын шешімдерді айқындауға құқық беретін заңды тұлғалар борышының деңгейін Компания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7.2-тармақ</w:t>
      </w:r>
      <w:r>
        <w:rPr>
          <w:rFonts w:ascii="Times New Roman"/>
          <w:b w:val="false"/>
          <w:i w:val="false"/>
          <w:color w:val="000000"/>
          <w:sz w:val="28"/>
        </w:rPr>
        <w:t xml:space="preserve"> мынадай мазмұндағы 5-1) тармақшамен толықтырылсын:</w:t>
      </w:r>
      <w:r>
        <w:br/>
      </w:r>
      <w:r>
        <w:rPr>
          <w:rFonts w:ascii="Times New Roman"/>
          <w:b w:val="false"/>
          <w:i w:val="false"/>
          <w:color w:val="000000"/>
          <w:sz w:val="28"/>
        </w:rPr>
        <w:t>
      «5-1) борыш деңгейін сипаттайтын мынадай көрсеткіштерді:</w:t>
      </w:r>
      <w:r>
        <w:br/>
      </w:r>
      <w:r>
        <w:rPr>
          <w:rFonts w:ascii="Times New Roman"/>
          <w:b w:val="false"/>
          <w:i w:val="false"/>
          <w:color w:val="000000"/>
          <w:sz w:val="28"/>
        </w:rPr>
        <w:t>
      қаржылық левередж коэффициентін;</w:t>
      </w:r>
      <w:r>
        <w:br/>
      </w:r>
      <w:r>
        <w:rPr>
          <w:rFonts w:ascii="Times New Roman"/>
          <w:b w:val="false"/>
          <w:i w:val="false"/>
          <w:color w:val="000000"/>
          <w:sz w:val="28"/>
        </w:rPr>
        <w:t>
      ағымдағы өтімділік коэффициентін;</w:t>
      </w:r>
      <w:r>
        <w:br/>
      </w:r>
      <w:r>
        <w:rPr>
          <w:rFonts w:ascii="Times New Roman"/>
          <w:b w:val="false"/>
          <w:i w:val="false"/>
          <w:color w:val="000000"/>
          <w:sz w:val="28"/>
        </w:rPr>
        <w:t>
      пайыздардың өтелу коэффициентін;</w:t>
      </w:r>
      <w:r>
        <w:br/>
      </w:r>
      <w:r>
        <w:rPr>
          <w:rFonts w:ascii="Times New Roman"/>
          <w:b w:val="false"/>
          <w:i w:val="false"/>
          <w:color w:val="000000"/>
          <w:sz w:val="28"/>
        </w:rPr>
        <w:t>
      қарыз/EBITDA коэффициентін (экономиканың нақты секторының компаниялары үшін) міндетті түрде көрсете отырып, Компанияның және акциялары (қатысу үлестері) Компанияға заңды тұлғалар қабылдайтын шешімдерді айқындауға құқық беретін заңды тұлғалардың негізгі қаржылық тұрақтылық көрсеткіштері;»;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7.4-тармақ</w:t>
      </w:r>
      <w:r>
        <w:rPr>
          <w:rFonts w:ascii="Times New Roman"/>
          <w:b w:val="false"/>
          <w:i w:val="false"/>
          <w:color w:val="000000"/>
          <w:sz w:val="28"/>
        </w:rPr>
        <w:t>:</w:t>
      </w:r>
      <w:r>
        <w:br/>
      </w:r>
      <w:r>
        <w:rPr>
          <w:rFonts w:ascii="Times New Roman"/>
          <w:b w:val="false"/>
          <w:i w:val="false"/>
          <w:color w:val="000000"/>
          <w:sz w:val="28"/>
        </w:rPr>
        <w:t>
      үшінші абзац «қарыздарды тарту және олардың негіздемесі» деген сөздердің алдынан «борыштың орнықты жай-күйінің қамтамасыз етілуін есепке ала отырып,»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11-1-тармақпен толықтырылсын:</w:t>
      </w:r>
      <w:r>
        <w:br/>
      </w:r>
      <w:r>
        <w:rPr>
          <w:rFonts w:ascii="Times New Roman"/>
          <w:b w:val="false"/>
          <w:i w:val="false"/>
          <w:color w:val="000000"/>
          <w:sz w:val="28"/>
        </w:rPr>
        <w:t>
      «11-1. Компаниялардың бекітілген даму жоспарларын Мемлекеттік кәсіпорындар мен мекемелер, жарғылық капиталына мемлекет қатысатын заңды тұлғалар тізілімінің (бұдан әрі - Тізілім) құрылымына косу үшін ұсыну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Компания «Ақпарат алмасуды қамтамасыз ету және мемлекеттік меншік жөніндегі деректердің ақпараттық базасын жүргізу жөніндегі шаралар туралы» Қазақстан Республикасы Үкіметінің 1998 жылғы 21 наурыздағы № 246 қаулысына сәйкес анықталған Тізілімді ұстаушы (бұдан әрі - тізілім ұстаушы) әзірлеген бағдарламалық қамтамасыз етуді пайдалана отырып, Даму жоспарларын дайындайды. Бағдарламалық қамтамасыз етумен жұмыс істеу нәтижесінде Компанияның даму жоспары бар электронды есеп (бұдан әрі - электронды есеп) қалыптастырылады, оған ұлттық куәландырушы орталық берген Компанияның электрондық цифрлық қолтаңбасы қойылуы кажет;</w:t>
      </w:r>
      <w:r>
        <w:br/>
      </w:r>
      <w:r>
        <w:rPr>
          <w:rFonts w:ascii="Times New Roman"/>
          <w:b w:val="false"/>
          <w:i w:val="false"/>
          <w:color w:val="000000"/>
          <w:sz w:val="28"/>
        </w:rPr>
        <w:t>
</w:t>
      </w:r>
      <w:r>
        <w:rPr>
          <w:rFonts w:ascii="Times New Roman"/>
          <w:b w:val="false"/>
          <w:i w:val="false"/>
          <w:color w:val="000000"/>
          <w:sz w:val="28"/>
        </w:rPr>
        <w:t>
      2) Даму жоспары бекітілген күннен бастап 5 жұмыс күні ішінде Компания Директорлар кеңесінің оны бекіту туралы сканерленген шешімін электронды есепке тіркеп, электронды есепті тізілім ұстаушыға жібереді;</w:t>
      </w:r>
      <w:r>
        <w:br/>
      </w:r>
      <w:r>
        <w:rPr>
          <w:rFonts w:ascii="Times New Roman"/>
          <w:b w:val="false"/>
          <w:i w:val="false"/>
          <w:color w:val="000000"/>
          <w:sz w:val="28"/>
        </w:rPr>
        <w:t>
</w:t>
      </w:r>
      <w:r>
        <w:rPr>
          <w:rFonts w:ascii="Times New Roman"/>
          <w:b w:val="false"/>
          <w:i w:val="false"/>
          <w:color w:val="000000"/>
          <w:sz w:val="28"/>
        </w:rPr>
        <w:t>
      3) тізілім ұстаушы Компанияның электронды есебі түскен күннен бастап бес жұмыс күн ішінде оның электронды мекенжайына электронды есептің Тізілімге қосылғаны немесе оны қабылдаудан бас тарту себептері туралы хабарландыру жібереді. Осы Ережеде көрсетілген талаптарды Компанияның орындамауы тізілім ұстаушының электронды есепті қабылдаудан бас тартуына негіз болып табылады;</w:t>
      </w:r>
      <w:r>
        <w:br/>
      </w:r>
      <w:r>
        <w:rPr>
          <w:rFonts w:ascii="Times New Roman"/>
          <w:b w:val="false"/>
          <w:i w:val="false"/>
          <w:color w:val="000000"/>
          <w:sz w:val="28"/>
        </w:rPr>
        <w:t>
</w:t>
      </w:r>
      <w:r>
        <w:rPr>
          <w:rFonts w:ascii="Times New Roman"/>
          <w:b w:val="false"/>
          <w:i w:val="false"/>
          <w:color w:val="000000"/>
          <w:sz w:val="28"/>
        </w:rPr>
        <w:t>
      4) қарыз алу туралы келісім жасасу барысында Компаниялар 5 жұмыс күні ішінде Тізілім жүйесінде осы Ереженің 7.2-тармағының 5-1) тармақшасында көрсетілген көрсеткіштер бойынша ақпаратты көрсетеді.»;</w:t>
      </w:r>
      <w:r>
        <w:br/>
      </w:r>
      <w:r>
        <w:rPr>
          <w:rFonts w:ascii="Times New Roman"/>
          <w:b w:val="false"/>
          <w:i w:val="false"/>
          <w:color w:val="000000"/>
          <w:sz w:val="28"/>
        </w:rPr>
        <w:t>
</w:t>
      </w:r>
      <w:r>
        <w:rPr>
          <w:rFonts w:ascii="Times New Roman"/>
          <w:b w:val="false"/>
          <w:i w:val="false"/>
          <w:color w:val="000000"/>
          <w:sz w:val="28"/>
        </w:rPr>
        <w:t>
      мынадай мазмұндағы 12-1-тармақпен толықтырылсын:</w:t>
      </w:r>
      <w:r>
        <w:br/>
      </w:r>
      <w:r>
        <w:rPr>
          <w:rFonts w:ascii="Times New Roman"/>
          <w:b w:val="false"/>
          <w:i w:val="false"/>
          <w:color w:val="000000"/>
          <w:sz w:val="28"/>
        </w:rPr>
        <w:t>
      «12-1. Компания түзетілген Даму жоспарын Тізілім құрылымына қосу үшін осы Ереженің 11-1-тармағында белгіленген тәртіппен ұсынады.».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2011.04.05 </w:t>
      </w:r>
      <w:r>
        <w:rPr>
          <w:rFonts w:ascii="Times New Roman"/>
          <w:b w:val="false"/>
          <w:i w:val="false"/>
          <w:color w:val="000000"/>
          <w:sz w:val="28"/>
        </w:rPr>
        <w:t>№ 370</w:t>
      </w:r>
      <w:r>
        <w:rPr>
          <w:rFonts w:ascii="Times New Roman"/>
          <w:b w:val="false"/>
          <w:i w:val="false"/>
          <w:color w:val="ff0000"/>
          <w:sz w:val="28"/>
        </w:rPr>
        <w:t xml:space="preserve"> Қаулысымен.</w:t>
      </w:r>
      <w:r>
        <w:br/>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