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2ee0" w14:textId="cd82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11 маусымдағы № 483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сәуірдегі № 312 Қаулысы. Күші жойылды - Қазақстан Республикасы Үкіметінің 2015 жылғы 28 тамыздағы № 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мемлекеттік меншіктің кейбір мәселелері туралы» Қазақстан Республикасы Үкіметінің 2007 жылғы 11 маусымдағы № 483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19, 214-құжат)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жалпымемлекеттік міндеттерді орындау үшін қажетті мемлекет қатысатын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«Қазақстан Республикасы Әділет министрлігі, Қазақстан Республикасы Жоғарғы Сотының жанындағы Сот әкімшілігі комитеті» деген бөліммен және реттік нөмірі 55-жолмен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министрлігі, Қазақстан Республикасы Жоғарғы Сотының жанындағы Сот әкімшілігі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«Заң» медиа-корпорациясы» жауапкершілігі шектеулі серіктестігі 67 %»;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акцияларының мемлекеттік пакеттері (қатысу үлестері) бәсекелі ортаға берілуі тиіс акционерлік қоғамдардың (жауапкершілігі шектеулі серіктестіктердің)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Әділет министрлігі, Қазақстан Республикасы Жоғарғы Сотының жанындағы Сот әкімшілігі комитеті» деген бөлім мен реттік нөмірі 35-жол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