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d182" w14:textId="56cd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14 мамырдағы № 381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маусымдағы № 544 Қаулысы. Күші жойылды - Қазақстан Республикасы Үкіметінің 2015 жылғы 25 сәуірдегі № 307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«Тұқым шаруашылығын дамытуға жергілікті бюджеттерден атаулы субсидия беру ережесін бекіту туралы» Қазақстан,Республикасы Үкіметінің 2007 жылғы 14 мамырдағы № 381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14, 170-құжат)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Тұқым шаруашылығын дамытуға жергілікті бюджеттерден атаулы субсидия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«Мақта тұқымын сатып алуға ауыл шаруашылығы тауарын өндірушілердің шығындарын ішінара өтеу және/немесе тұқым шаруашылықтарының мақта тұқымын арзандатылған бағамен сатуы кезінде 1 тоннаға субсидия мөлшері тұқымды өңдеу технологиясына (механикалық және/немесе химиялық тазарту әдісіне) байланысты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«Мақта тұқымын сатып алуға ауыл шаруашылығы тауарын өндірушілердің шығындарын ішінара өтеу кезінде 1 тоннаға субсидия мөлшері тұқымды өңдеу технологиясына (механикалық және/немесе химиялық тазарту әдісіне) байланысты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«Химиялық әдіспен тазартылған мақта тұқымын сатып алған ауыл шаруашылығы тауарын өндірушілер субсидия алу үшін қосымша мақта тұқымын химиялық әдіспен өңдеуге шарттардың көшірмелерін және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«Тұқым шаруашылықтарының мақта тұқымын арзандатылған бағамен сатуы кезінде 1 тоннаға субсидия мөлшері тұқымды өңдеу технологиясына (механикалық және/немесе химиялық тазарту әдісіне) байланысты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«Химиялық әдіспен тазартылған мақта тұқымын ауыл шаруашылығы тауарын өндірушілерге арзандатылған бағамен сатқан тұқым шаруашылықтары субсидия алу үшін қосымша мақта тұқымын химиялық әдіспен өңдеуге шарттардың көшірмелерін және химиялық әдіспен тазарту бойынша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