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87f9" w14:textId="14a8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оқу орындарының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17 қыркүйектегі № 957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Қайта құру жолымен:</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«Л.Н.Гумилев атындағы Еуразия ұлттық университеті» республикалық мемлекеттік қазыналық кәсіпорны Қазақстан Республикасы Білім және ғылым министрлігінің «Л.Н.Гумилев атындағы Еуразия ұлттық университеті» шаруашылық жүргізу құқығындағы республикалық мемлекеттік кәсіпорны (бұдан әрі - кәсіпорын);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«Қазақ ұлттық аграрлық университеті» республикалық мемлекеттік қазыналық кәсіпорны Қазақстан Республикасы Білім және ғылым министрлігінің «Қазақ ұлттық аграрлық университеті» шаруашылық жүргізу құқығындағы республикалық мемлекеттік кәсіпорны (бұдан әрі - кәсіпорын) болып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білім беру саласындағы өндірістік-шаруашылық қызметті жүзеге асыру кәсіпорындар қызметінің негізгі мәні;</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 кәсіпорындардың мемлекеттік басқару органы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кәсіпорындардың жарғыларын бекітуге енгізсін және оларды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«Жекешелендіруге жатпайтын мемлекеттік жоғары оқу орындарының тізбесін бекіту туралы» Қазақстан Республикасы Үкіметінің 2000 жылғы 6 шілдедегі № 1021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28, 339-құжат):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жекешелендіруге жатпайтын мемлекеттік жоғары оқу орындарының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6, 24-жолдар мынадай редакцияда жазылсын:</w:t>
      </w:r>
      <w:r>
        <w:br/>
      </w:r>
      <w:r>
        <w:rPr>
          <w:rFonts w:ascii="Times New Roman"/>
          <w:b w:val="false"/>
          <w:i w:val="false"/>
          <w:color w:val="000000"/>
          <w:sz w:val="28"/>
        </w:rPr>
        <w:t>
      «6. «Қазақ ұлттық аграрлық университеті» республикалық мемлекеттік кәсіпорны Алматы қаласы;</w:t>
      </w:r>
      <w:r>
        <w:br/>
      </w:r>
      <w:r>
        <w:rPr>
          <w:rFonts w:ascii="Times New Roman"/>
          <w:b w:val="false"/>
          <w:i w:val="false"/>
          <w:color w:val="000000"/>
          <w:sz w:val="28"/>
        </w:rPr>
        <w:t>
      24. «Л.Н. Гумилев атындағы Еуразия ұлттық университеті» республикалық мемлекеттік кәсіпорны Астана қаласы»;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