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5ab" w14:textId="ec8a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кеден ісі туралы"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ақпандағы № 85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кеден ісі туралы» Қазақстан Республикасының 2010 жылғы 30 шілдедегі Кодексінің 68-бабының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Республикасындағы кеден ісі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Республикасындағы кеден ісі туралы» Қазақстан Республикасының Кодексінде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кеден ісі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Кеден одағының кеден заңнамасына (Кеден одағы комиссиясының шешімдері не Кеден одағына мүше мемлекеттердің келісімдері) сәйкес белгіленген кедендік құжаттарды толтырудың форматтық-логикалық бақылауды қамтуға;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ісі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интернет-ресурсында, веб-порталында орналастырылатын электрондық анықтамалардан және жіктеуіштерден жаңартылатын нормативтік-анықтамалық ақпаратты қамтуға;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Кеден одағының кеден заңнамасына (Кеден одағы комиссиясының шешімдері не Кеден одағына мүше мемлекеттердің келісімдері) сәйкес белгіленген кедендік құжаттардың электрондық көшірмелерінің құрылымы мен форматын қамтуға;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қолданыстағы заңнамасына сәйкес ақпараттық қауіпсіздік талаптарына және Қазақстан Республикасының аумағында қабылданған стандарттарға сәйкес болуға тиіс.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