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caf9" w14:textId="4f9c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7 сәуірдегі № 401 Қаулысы</w:t>
      </w:r>
    </w:p>
    <w:p>
      <w:pPr>
        <w:spacing w:after="0"/>
        <w:ind w:left="0"/>
        <w:jc w:val="both"/>
      </w:pPr>
      <w:bookmarkStart w:name="z1" w:id="0"/>
      <w:r>
        <w:rPr>
          <w:rFonts w:ascii="Times New Roman"/>
          <w:b w:val="false"/>
          <w:i w:val="false"/>
          <w:color w:val="000000"/>
          <w:sz w:val="28"/>
        </w:rPr>
        <w:t xml:space="preserve">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сондай-ақ Астана қаласында Қазақстан Республикасының Тәуелсіздігіне 20 жыл толуына байланысты іс-шараларды дайындау және өткізу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министрлігіне 2011 жылға арналған республикалық бюджетте шұғыл шығындарға көзделген Қазақстан Республикасы Үкіметінің резервінен Астана қаласының көлік инфрақұрылымын дамытуға нысаналы трансферттер түрінде Астана қаласының әкімдігіне аудару үшін 6000000000 (алты миллиард)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