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b085" w14:textId="a0eb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"Бензин, дизель отыны және мазут қауіпсіздігіне қойылатын талаптар" техникалық регламентін бекіту және Қазақстан Республикасы Үкіметінің 2007 жылғы 29 желтоқсандағы № 1372 қаулысына өзгерістер енгізу туралы" Қазақстан Республикасы Үкіметінің 2010 жылғы 1 наурыздағы № 153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қарашадағы № 1288 Қаулысы. Күші жойылды - Қазақстан Республикасы Үкiметiнiң 2012 жылғы 30 шілдедегі № 1004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ҚР Үкiметiнiң 2012.07.30 </w:t>
      </w:r>
      <w:r>
        <w:rPr>
          <w:rFonts w:ascii="Times New Roman"/>
          <w:b w:val="false"/>
          <w:i w:val="false"/>
          <w:color w:val="000000"/>
          <w:sz w:val="28"/>
        </w:rPr>
        <w:t>№ 1004</w:t>
      </w:r>
      <w:r>
        <w:rPr>
          <w:rFonts w:ascii="Times New Roman"/>
          <w:b w:val="false"/>
          <w:i w:val="false"/>
          <w:color w:val="ff0000"/>
          <w:sz w:val="28"/>
        </w:rPr>
        <w:t> (2012.12.31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«Бензин, дизель отыны және мазут қауіпсіздігіне қойылатын талаптар» техникалық регламентін бекіту және Қазақстан Республикасы Үкіметінің 2007 жылғы 29 желтоқсандағы № 1372 қаулысына өзгерістер енгізу туралы» Қазақстан Республикасы Үкіметінің 2010 жылғы 1 наурыздағы № 153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20-21, 158-құжат)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«Бензин, дизель отыны және мазут қауіпсіздігіне қойылатын талаптар» техникалық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«2-экологиялық сынып 2010 жылғы 1 қаңтардан бастап;»;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«Бензин, дизель отыны және мазут қауіпсіздігіне қойылатын талаптар» техникалық регламентіне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«Бензинінің сипаттамаларына қойылатын талаптар»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1933"/>
        <w:gridCol w:w="1293"/>
        <w:gridCol w:w="1293"/>
        <w:gridCol w:w="1293"/>
      </w:tblGrid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Жiберу клапандарындағы шөгiндiлер, артық емес (СЕС Ғ-05-А-93)*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мг/клапан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«Бензин, дизель отыны және мазут қауіпсіздігіне қойылатын талаптар» техникалық регламентіне 2-қосымшада: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«Дизель отыны сипаттамаларына қойылатын талаптар»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3"/>
        <w:gridCol w:w="2253"/>
        <w:gridCol w:w="1293"/>
        <w:gridCol w:w="1293"/>
        <w:gridCol w:w="1293"/>
      </w:tblGrid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бүрiккiшiнiң тазалығы, артық емес (СЕС (РҒ-023) ТВА)*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Өткiзу шығыны, 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