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9add" w14:textId="8559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"Ұлты қазақ азаматтардың тегі мен әкесінің атын жазуға байланысты мәселелерді шешу тәртібі туралы" Қазақстан Республикасы Президентінің 1996 жылғы 2 сәуірдегі № 2923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11 қарашадағы № 1322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«Ұлты қазақ азаматтардың тегі мен әкесінің атын жазуға байланысты мәселелерді шешу тәртібі туралы» Қазақстан Республикасы Президентінің 1996 жылғы 2 сәуірдегі № 2923 Жарлығына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«Ұлты қазақ азаматтардың тегі мен әкесінің атын жазуға</w:t>
      </w:r>
      <w:r>
        <w:br/>
      </w:r>
      <w:r>
        <w:rPr>
          <w:rFonts w:ascii="Times New Roman"/>
          <w:b/>
          <w:i w:val="false"/>
          <w:color w:val="000000"/>
        </w:rPr>
        <w:t>
байланысты мәселелерді шешу тәртібі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1996 жылғы 2 сәуірдегі № 2923</w:t>
      </w:r>
      <w:r>
        <w:br/>
      </w:r>
      <w:r>
        <w:rPr>
          <w:rFonts w:ascii="Times New Roman"/>
          <w:b/>
          <w:i w:val="false"/>
          <w:color w:val="000000"/>
        </w:rPr>
        <w:t>
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«Ұлты қазақ азаматтардың тегі мен әкесінің атын жазуға байланысты мәселелерді шешу тәртібі туралы» Қазақстан Республикасы Президентінің 1996 жылғы 2 сәуірдегі № 2923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 1996 ж., № 14, 107-құжат; 2005 ж., № 2, 10-құжат)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азаматының паспортын және жеке басының куәлігін берген кезде Қазақстан Республикасы ішкі істер органдары осы Жарлықтың 1-тармағында көзделгендей, тегі мен әкесінің атының жазылуын оңайлатылған тәртіппен, азаматтық хал-ахуалын жазу актілеріне өзгертулер енгізусіз жүргізеді деп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