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832f" w14:textId="06c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рәміздері туралы" Қазақстан Республикасының Конституциялық заңына өзгерістер мен толықтыру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рәміздері туралы» Қазақстан Республикасының Конституциялық заңына өзгерістер мен толықтыру енгізу туралы» Қазақстан Республикасының Конституциялық заңының жобасы Қазақстан Республикасы Парламентінің 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КОНСТИТУЦИЯЛЫҚ ЗАҢЫ «Қазақстан Республикасының мемлекеттік рәміздері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Конституциялық заңын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мемлекеттік рәміздері туралы» Қазақстан Республикасының 2007 жылғы 4 маусымдағы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7 ж., № 11, 72-құжат; 2008 ж., № 13-14, 53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-баптың 2-тармағы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отариустардың мөрлері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-баптың 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зақстан Республикасының Мемлекеттік Туы мен Қазақстан Республикасының Мемлекеттік Елтаңбасын, сондай-ақ олар бейнеленген материалдық объектiлердi дайындау және сату кезінде техникалық реттеу саласындағы нормативтік құқықтық актілер мен нормативтік құжаттар талаптарының сақталуын бақылауды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-бап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Конституциялық заң алғашқы ресми жарияланғанынан кейін күнтiзбелiк он күн өткен соң 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