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4e0c" w14:textId="de14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жобаларды әлеуметтік маңызы бар жобалардың санатына жатқызу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сәуірдегі № 457 Қаулысы. Күші жойылды - Қазақстан Республикасы Үкіметінің 2015 жылғы 16 шілдедегі № 542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«Концессиялар туралы»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концессиялық жобаларды әлеуметтік маңызы бар жобалардың санатына жатқызу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> 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Концессиялық жобаларды әлеуметтік маңызы бар жобалардың</w:t>
      </w:r>
      <w:r>
        <w:br/>
      </w:r>
      <w:r>
        <w:rPr>
          <w:rFonts w:ascii="Times New Roman"/>
          <w:b/>
          <w:i w:val="false"/>
          <w:color w:val="000000"/>
        </w:rPr>
        <w:t>
санатына жатқызу критерийлері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концессиялық жобаларды әлеуметтік маңызы бар жобалардың санатына жатқызу критерийлері (бұдан әрі – критерийлер) «Концессиялар туралы» Қазақстан Республикасының 2006 жылғы 7 шілдедегі Заңының 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Концессия объектісінің қолжетімділігі үшін төлемақыны қолдану мақсатында концессиялық жобаны әлеуметтік маңызы бар жобалардың санатына жатқызу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04.12.2013 </w:t>
      </w:r>
      <w:r>
        <w:rPr>
          <w:rFonts w:ascii="Times New Roman"/>
          <w:b w:val="false"/>
          <w:i w:val="false"/>
          <w:color w:val="00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Критерийлер – концессиялық жобаның оның қоғамға бағытталғандығын көрсететін белгілері (қоғамдық инфрақұрылым объектілерін салу, пайдалану арқылы қоғамдық мүдделерді қанағаттандыру).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 концессиялық жобаларды әлеуметтік маңызы бар жобалардың санатына жатқызу критерийлері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қамтамасыз ету, қызмет көрсету және халықты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беру, мектепке дейінгі тәрбие беру және оқыту;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салаларының бірінде концессиялық жобаларды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қамтамасыз ету, қызмет көрсету және халықты қорғау объектілерінің;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беру, мектепке дейінгі тәрбие беру және оқыту объектілерінің;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объектілерінің;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саласы объектілерінің санын ұлғайтуға алып келетін концессиялық жобаларды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04.12.2013 </w:t>
      </w:r>
      <w:r>
        <w:rPr>
          <w:rFonts w:ascii="Times New Roman"/>
          <w:b w:val="false"/>
          <w:i w:val="false"/>
          <w:color w:val="00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 (алғашқы ресми жарияланған күнінен бастап күнтізбелік он күн өткен соң қолданысқа енгізіледі).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