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6f44d" w14:textId="c56f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тұрғын үй қорынан тұрғын үй немесе жеке тұрғын үй қорынан жергiлiктi атқарушы орган жалдаған тұрғын үй беру және пайдалану қағидасын бекiту туралы" Қазақстан Республикасы Үкіметінің 2011 жылғы 1 желтоқсандағы № 1420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сәуірдегі № 500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"Мемлекеттiк тұрғын үй қорынан тұрғын үй немесе жеке тұрғын үй қорынан жергiлiктi атқарушы орган жалдаған тұрғын үй беру және пайдалану қағидасын бекiту туралы" Қазақстан Республикасы Үкіметінің 2011 жылғы 1 желтоқсандағы № 1420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Мемлекеттiк тұрғын үй қорынан тұрғын үй немесе жеке тұрғын үй қорынан жергiлiктi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"3) мемлекеттiк қызметшiлерге, бюджеттiк ұйымдардың қызметкерлерiне, әскери қызметшiлерге, ғарышкерлікке кандидаттарға, ғарышкерлерге және мемлекеттiк сайланбалы қызмет атқаратын адамдарға;";</w:t>
      </w:r>
    </w:p>
    <w:bookmarkEnd w:id="4"/>
    <w:bookmarkStart w:name="z6" w:id="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"8) өтiнiш берушiнiң (отбасының) азаматтардың осал тобына жататынын растайтын әлеуметтiк қорғау органының анықтамасын не мемлекеттiк қызметшiнiң, бюджеттiк ұйымдар қызметкерлерiнiң, әскери қызметкерлердiң, ғарышкерлікке кандидаттың, ғарышкердің жұмыс (қызмет) орнынан анықтаманы (коммуналдық тұрғын үй қорынан тұрғын үй берген кезде);".</w:t>
      </w:r>
    </w:p>
    <w:bookmarkEnd w:id="6"/>
    <w:bookmarkStart w:name="z8" w:id="7"/>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