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875d" w14:textId="e568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қызметін лицензиялау кезінде қойылатын біліктілік талаптарын бекіту туралы" Қазақстан Республикасы Үкіметінің 2007 жылғы 2 маусымдағы № 452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11 маусымдағы № 778 Қаулысы. Күші жойылды - Қазақстан Республикасы Үкіметінің 2013 жылғы 28 ақпандағы № 195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28.02.2013 </w:t>
      </w:r>
      <w:r>
        <w:rPr>
          <w:rFonts w:ascii="Times New Roman"/>
          <w:b w:val="false"/>
          <w:i w:val="false"/>
          <w:color w:val="ff0000"/>
          <w:sz w:val="28"/>
        </w:rPr>
        <w:t>№ 195</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«Білім беру қызметін лицензиялау кезінде қойылатын біліктілік талаптарын бекіту туралы» Қазақстан Республикасы Үкіметінің 2007 жылғы 2 маусымдағы № 452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18, 202-құжат)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білім беру қызметін лицензиялау кезінде қойылатын біліктілік талаптары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Білім беру қызметін лицензиялау кезінде қойылатын біліктілік талаптарының алғашқы ресми жарияланғанынан кейін алты ай өткен соң қолданысқа енгізілетін 7-тармағының </w:t>
      </w:r>
      <w:r>
        <w:rPr>
          <w:rFonts w:ascii="Times New Roman"/>
          <w:b w:val="false"/>
          <w:i w:val="false"/>
          <w:color w:val="000000"/>
          <w:sz w:val="28"/>
        </w:rPr>
        <w:t>5) тармақшасын</w:t>
      </w:r>
      <w:r>
        <w:rPr>
          <w:rFonts w:ascii="Times New Roman"/>
          <w:b w:val="false"/>
          <w:i w:val="false"/>
          <w:color w:val="000000"/>
          <w:sz w:val="28"/>
        </w:rPr>
        <w:t>, 8-тармағының  </w:t>
      </w:r>
      <w:r>
        <w:rPr>
          <w:rFonts w:ascii="Times New Roman"/>
          <w:b w:val="false"/>
          <w:i w:val="false"/>
          <w:color w:val="000000"/>
          <w:sz w:val="28"/>
        </w:rPr>
        <w:t>6) тармақшасын</w:t>
      </w:r>
      <w:r>
        <w:rPr>
          <w:rFonts w:ascii="Times New Roman"/>
          <w:b w:val="false"/>
          <w:i w:val="false"/>
          <w:color w:val="000000"/>
          <w:sz w:val="28"/>
        </w:rPr>
        <w:t>қоспағанда, осы қаулы алғашқы ресми жарияланғанынан кейін күнтізбелік жиырма бір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11 маусымдағы </w:t>
      </w:r>
      <w:r>
        <w:br/>
      </w:r>
      <w:r>
        <w:rPr>
          <w:rFonts w:ascii="Times New Roman"/>
          <w:b w:val="false"/>
          <w:i w:val="false"/>
          <w:color w:val="000000"/>
          <w:sz w:val="28"/>
        </w:rPr>
        <w:t xml:space="preserve">
№ 778 қаулысына    </w:t>
      </w:r>
      <w:r>
        <w:br/>
      </w:r>
      <w:r>
        <w:rPr>
          <w:rFonts w:ascii="Times New Roman"/>
          <w:b w:val="false"/>
          <w:i w:val="false"/>
          <w:color w:val="000000"/>
          <w:sz w:val="28"/>
        </w:rPr>
        <w:t xml:space="preserve">
қосымша        </w:t>
      </w:r>
    </w:p>
    <w:bookmarkEnd w:id="2"/>
    <w:bookmarkStart w:name="z14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 маусымдағы </w:t>
      </w:r>
      <w:r>
        <w:br/>
      </w:r>
      <w:r>
        <w:rPr>
          <w:rFonts w:ascii="Times New Roman"/>
          <w:b w:val="false"/>
          <w:i w:val="false"/>
          <w:color w:val="000000"/>
          <w:sz w:val="28"/>
        </w:rPr>
        <w:t xml:space="preserve">
№ 452 қаулысымен    </w:t>
      </w:r>
      <w:r>
        <w:br/>
      </w:r>
      <w:r>
        <w:rPr>
          <w:rFonts w:ascii="Times New Roman"/>
          <w:b w:val="false"/>
          <w:i w:val="false"/>
          <w:color w:val="000000"/>
          <w:sz w:val="28"/>
        </w:rPr>
        <w:t xml:space="preserve">
бекітілген      </w:t>
      </w:r>
    </w:p>
    <w:bookmarkEnd w:id="3"/>
    <w:bookmarkStart w:name="z6" w:id="4"/>
    <w:p>
      <w:pPr>
        <w:spacing w:after="0"/>
        <w:ind w:left="0"/>
        <w:jc w:val="left"/>
      </w:pPr>
      <w:r>
        <w:rPr>
          <w:rFonts w:ascii="Times New Roman"/>
          <w:b/>
          <w:i w:val="false"/>
          <w:color w:val="000000"/>
        </w:rPr>
        <w:t xml:space="preserve"> 
Білім беру қызметін лицензиялау кезінде қойылатын</w:t>
      </w:r>
      <w:r>
        <w:br/>
      </w:r>
      <w:r>
        <w:rPr>
          <w:rFonts w:ascii="Times New Roman"/>
          <w:b/>
          <w:i w:val="false"/>
          <w:color w:val="000000"/>
        </w:rPr>
        <w:t>
біліктілік талаптары</w:t>
      </w:r>
    </w:p>
    <w:bookmarkEnd w:id="4"/>
    <w:bookmarkStart w:name="z7" w:id="5"/>
    <w:p>
      <w:pPr>
        <w:spacing w:after="0"/>
        <w:ind w:left="0"/>
        <w:jc w:val="both"/>
      </w:pPr>
      <w:r>
        <w:rPr>
          <w:rFonts w:ascii="Times New Roman"/>
          <w:b w:val="false"/>
          <w:i w:val="false"/>
          <w:color w:val="000000"/>
          <w:sz w:val="28"/>
        </w:rPr>
        <w:t>
      1. Бастауыш білімнің жалпы білім беру оқу бағдарламаларын іске асыратын білім беру ұйымдарының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2) жоғары және бірінші санаттағы мұғалімдердің үлесі олардың жалпы санының 20 %-нан кем болмауы;</w:t>
      </w:r>
      <w:r>
        <w:br/>
      </w:r>
      <w:r>
        <w:rPr>
          <w:rFonts w:ascii="Times New Roman"/>
          <w:b w:val="false"/>
          <w:i w:val="false"/>
          <w:color w:val="000000"/>
          <w:sz w:val="28"/>
        </w:rPr>
        <w:t>
</w:t>
      </w:r>
      <w:r>
        <w:rPr>
          <w:rFonts w:ascii="Times New Roman"/>
          <w:b w:val="false"/>
          <w:i w:val="false"/>
          <w:color w:val="000000"/>
          <w:sz w:val="28"/>
        </w:rPr>
        <w:t>
      3) білім алушылар контингентіне шаққанда бір білім алушыға толық оқу цикліне саны кемінде 15 бірлік басылымнан келетін оқу әдебиеті қорының болуы;</w:t>
      </w:r>
      <w:r>
        <w:br/>
      </w:r>
      <w:r>
        <w:rPr>
          <w:rFonts w:ascii="Times New Roman"/>
          <w:b w:val="false"/>
          <w:i w:val="false"/>
          <w:color w:val="000000"/>
          <w:sz w:val="28"/>
        </w:rPr>
        <w:t>
</w:t>
      </w:r>
      <w:r>
        <w:rPr>
          <w:rFonts w:ascii="Times New Roman"/>
          <w:b w:val="false"/>
          <w:i w:val="false"/>
          <w:color w:val="000000"/>
          <w:sz w:val="28"/>
        </w:rPr>
        <w:t>
      4)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5)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6)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2. Негізгі орта білімнің жалпы білім беру оқу бағдарламаларын іске асыратын білім беру ұйымдарының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2) жоғары және бірінші санаттағы мұғалімдердің үлесі олардың жалпы санының 30 %-нан кем болмауы;</w:t>
      </w:r>
      <w:r>
        <w:br/>
      </w:r>
      <w:r>
        <w:rPr>
          <w:rFonts w:ascii="Times New Roman"/>
          <w:b w:val="false"/>
          <w:i w:val="false"/>
          <w:color w:val="000000"/>
          <w:sz w:val="28"/>
        </w:rPr>
        <w:t>
</w:t>
      </w:r>
      <w:r>
        <w:rPr>
          <w:rFonts w:ascii="Times New Roman"/>
          <w:b w:val="false"/>
          <w:i w:val="false"/>
          <w:color w:val="000000"/>
          <w:sz w:val="28"/>
        </w:rPr>
        <w:t>
      3) білім алушылар контингентіне шаққанда бір білім алушыға толық оқу цикліне саны кемінде 15 бірлік басылымнан келетін оқу әдебиеті қорының болуы;</w:t>
      </w:r>
      <w:r>
        <w:br/>
      </w:r>
      <w:r>
        <w:rPr>
          <w:rFonts w:ascii="Times New Roman"/>
          <w:b w:val="false"/>
          <w:i w:val="false"/>
          <w:color w:val="000000"/>
          <w:sz w:val="28"/>
        </w:rPr>
        <w:t>
</w:t>
      </w:r>
      <w:r>
        <w:rPr>
          <w:rFonts w:ascii="Times New Roman"/>
          <w:b w:val="false"/>
          <w:i w:val="false"/>
          <w:color w:val="000000"/>
          <w:sz w:val="28"/>
        </w:rPr>
        <w:t>
      4)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5)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6)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7) интернет желісіне қосылған компьютерлік сыныптармен, оқу-зертхана жабдықтарымен жарақтандырылуы.</w:t>
      </w:r>
      <w:r>
        <w:br/>
      </w:r>
      <w:r>
        <w:rPr>
          <w:rFonts w:ascii="Times New Roman"/>
          <w:b w:val="false"/>
          <w:i w:val="false"/>
          <w:color w:val="000000"/>
          <w:sz w:val="28"/>
        </w:rPr>
        <w:t>
</w:t>
      </w:r>
      <w:r>
        <w:rPr>
          <w:rFonts w:ascii="Times New Roman"/>
          <w:b w:val="false"/>
          <w:i w:val="false"/>
          <w:color w:val="000000"/>
          <w:sz w:val="28"/>
        </w:rPr>
        <w:t>
      3. Жалпы орта білімнің жалпы білім беру оқу бағдарламаларын іске асыратын білім беру ұйымдарының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2) жоғары және бірінші санаттағы мұғалімдердің үлесі олардың жалпы санының 30 %-нан кем болмауы;</w:t>
      </w:r>
      <w:r>
        <w:br/>
      </w:r>
      <w:r>
        <w:rPr>
          <w:rFonts w:ascii="Times New Roman"/>
          <w:b w:val="false"/>
          <w:i w:val="false"/>
          <w:color w:val="000000"/>
          <w:sz w:val="28"/>
        </w:rPr>
        <w:t>
</w:t>
      </w:r>
      <w:r>
        <w:rPr>
          <w:rFonts w:ascii="Times New Roman"/>
          <w:b w:val="false"/>
          <w:i w:val="false"/>
          <w:color w:val="000000"/>
          <w:sz w:val="28"/>
        </w:rPr>
        <w:t>
      3) білім алушылар контингентіне шаққанда бір білім алушыға толық оқу цикліне саны кемінде 25 бірлік басылымнан келетін оқу әдебиеті қорының болуы;</w:t>
      </w:r>
      <w:r>
        <w:br/>
      </w:r>
      <w:r>
        <w:rPr>
          <w:rFonts w:ascii="Times New Roman"/>
          <w:b w:val="false"/>
          <w:i w:val="false"/>
          <w:color w:val="000000"/>
          <w:sz w:val="28"/>
        </w:rPr>
        <w:t>
</w:t>
      </w:r>
      <w:r>
        <w:rPr>
          <w:rFonts w:ascii="Times New Roman"/>
          <w:b w:val="false"/>
          <w:i w:val="false"/>
          <w:color w:val="000000"/>
          <w:sz w:val="28"/>
        </w:rPr>
        <w:t>
      4)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5)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6)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7) интернет желісіне қосылған компьютерлік сыныптармен, оқу-зертхана жабдықтарымен жарақтандырылуы.</w:t>
      </w:r>
      <w:r>
        <w:br/>
      </w:r>
      <w:r>
        <w:rPr>
          <w:rFonts w:ascii="Times New Roman"/>
          <w:b w:val="false"/>
          <w:i w:val="false"/>
          <w:color w:val="000000"/>
          <w:sz w:val="28"/>
        </w:rPr>
        <w:t>
</w:t>
      </w:r>
      <w:r>
        <w:rPr>
          <w:rFonts w:ascii="Times New Roman"/>
          <w:b w:val="false"/>
          <w:i w:val="false"/>
          <w:color w:val="000000"/>
          <w:sz w:val="28"/>
        </w:rPr>
        <w:t>
      4. Техникалық және кәсіптік білімнің білім беру оқу бағдарламаларын іске асыратын білім беру ұйымдарының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2) штаттағы оқытушылар үлесінің олардың жалпы санының 70 % кем болмауы;</w:t>
      </w:r>
      <w:r>
        <w:br/>
      </w:r>
      <w:r>
        <w:rPr>
          <w:rFonts w:ascii="Times New Roman"/>
          <w:b w:val="false"/>
          <w:i w:val="false"/>
          <w:color w:val="000000"/>
          <w:sz w:val="28"/>
        </w:rPr>
        <w:t>
</w:t>
      </w:r>
      <w:r>
        <w:rPr>
          <w:rFonts w:ascii="Times New Roman"/>
          <w:b w:val="false"/>
          <w:i w:val="false"/>
          <w:color w:val="000000"/>
          <w:sz w:val="28"/>
        </w:rPr>
        <w:t>
      3) жоғары және бірінші санаттағы оқытушылар және (немесе) магистрлер үлесінің олардың жалпы санының 30 %-нан кем болмауы;</w:t>
      </w:r>
      <w:r>
        <w:br/>
      </w:r>
      <w:r>
        <w:rPr>
          <w:rFonts w:ascii="Times New Roman"/>
          <w:b w:val="false"/>
          <w:i w:val="false"/>
          <w:color w:val="000000"/>
          <w:sz w:val="28"/>
        </w:rPr>
        <w:t>
</w:t>
      </w:r>
      <w:r>
        <w:rPr>
          <w:rFonts w:ascii="Times New Roman"/>
          <w:b w:val="false"/>
          <w:i w:val="false"/>
          <w:color w:val="000000"/>
          <w:sz w:val="28"/>
        </w:rPr>
        <w:t>
      4) білім алушылар контингентіне шаққанда бір білім алушыға толық оқу цикліне саны кемінде 25 бірлік басылымнан келетін оқу әдебиеті қорының болуы;</w:t>
      </w:r>
      <w:r>
        <w:br/>
      </w:r>
      <w:r>
        <w:rPr>
          <w:rFonts w:ascii="Times New Roman"/>
          <w:b w:val="false"/>
          <w:i w:val="false"/>
          <w:color w:val="000000"/>
          <w:sz w:val="28"/>
        </w:rPr>
        <w:t>
</w:t>
      </w:r>
      <w:r>
        <w:rPr>
          <w:rFonts w:ascii="Times New Roman"/>
          <w:b w:val="false"/>
          <w:i w:val="false"/>
          <w:color w:val="000000"/>
          <w:sz w:val="28"/>
        </w:rPr>
        <w:t>
      5) интернет желісіне қосылған компьютерлік сыныптармен, оқу-зертхана жабдықтарымен, арнайы оқу жабдығымен жарақтандырылуы;</w:t>
      </w:r>
      <w:r>
        <w:br/>
      </w:r>
      <w:r>
        <w:rPr>
          <w:rFonts w:ascii="Times New Roman"/>
          <w:b w:val="false"/>
          <w:i w:val="false"/>
          <w:color w:val="000000"/>
          <w:sz w:val="28"/>
        </w:rPr>
        <w:t>
</w:t>
      </w:r>
      <w:r>
        <w:rPr>
          <w:rFonts w:ascii="Times New Roman"/>
          <w:b w:val="false"/>
          <w:i w:val="false"/>
          <w:color w:val="000000"/>
          <w:sz w:val="28"/>
        </w:rPr>
        <w:t>
      6) практикадан өткізу базалары ретінде белгіленген ұйымдармен жасалған шарттардың болуы;</w:t>
      </w:r>
      <w:r>
        <w:br/>
      </w:r>
      <w:r>
        <w:rPr>
          <w:rFonts w:ascii="Times New Roman"/>
          <w:b w:val="false"/>
          <w:i w:val="false"/>
          <w:color w:val="000000"/>
          <w:sz w:val="28"/>
        </w:rPr>
        <w:t>
</w:t>
      </w:r>
      <w:r>
        <w:rPr>
          <w:rFonts w:ascii="Times New Roman"/>
          <w:b w:val="false"/>
          <w:i w:val="false"/>
          <w:color w:val="000000"/>
          <w:sz w:val="28"/>
        </w:rPr>
        <w:t>
      7) білім алушының бір жылғы оқуына жұмсалатын ең төменгі шығыстардың Қазақстан Республикасы Үкіметінің тиісті оқу жылына арналған техникалық және кәсіптік білімі бар мамандар даярлауға арналған мемлекеттік тапсырысты бекіту жөніндегі қаулысында көзделген шығыстар деңгейіне сәйкестігі;</w:t>
      </w:r>
      <w:r>
        <w:br/>
      </w:r>
      <w:r>
        <w:rPr>
          <w:rFonts w:ascii="Times New Roman"/>
          <w:b w:val="false"/>
          <w:i w:val="false"/>
          <w:color w:val="000000"/>
          <w:sz w:val="28"/>
        </w:rPr>
        <w:t>
</w:t>
      </w:r>
      <w:r>
        <w:rPr>
          <w:rFonts w:ascii="Times New Roman"/>
          <w:b w:val="false"/>
          <w:i w:val="false"/>
          <w:color w:val="000000"/>
          <w:sz w:val="28"/>
        </w:rPr>
        <w:t>
      8)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9)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10)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5. Орта білімнен кейінгі кәсіптік оқу бағдарламаларын іске асыратын білім беру ұйымдарының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штаттағы оқытушылар үлесінің олардың жалпы санының 70 %-нан кем болмауы;</w:t>
      </w:r>
      <w:r>
        <w:br/>
      </w:r>
      <w:r>
        <w:rPr>
          <w:rFonts w:ascii="Times New Roman"/>
          <w:b w:val="false"/>
          <w:i w:val="false"/>
          <w:color w:val="000000"/>
          <w:sz w:val="28"/>
        </w:rPr>
        <w:t>
</w:t>
      </w:r>
      <w:r>
        <w:rPr>
          <w:rFonts w:ascii="Times New Roman"/>
          <w:b w:val="false"/>
          <w:i w:val="false"/>
          <w:color w:val="000000"/>
          <w:sz w:val="28"/>
        </w:rPr>
        <w:t>
      2) жоғары және бірінші санаттағы оқытушылар және (немесе) магистрлердің, ғылыми дәрежелері және атақтары бар оқытушылар үлесінің олардың жалпы санының 40 %-нан кем болмауы;</w:t>
      </w:r>
      <w:r>
        <w:br/>
      </w:r>
      <w:r>
        <w:rPr>
          <w:rFonts w:ascii="Times New Roman"/>
          <w:b w:val="false"/>
          <w:i w:val="false"/>
          <w:color w:val="000000"/>
          <w:sz w:val="28"/>
        </w:rPr>
        <w:t>
</w:t>
      </w:r>
      <w:r>
        <w:rPr>
          <w:rFonts w:ascii="Times New Roman"/>
          <w:b w:val="false"/>
          <w:i w:val="false"/>
          <w:color w:val="000000"/>
          <w:sz w:val="28"/>
        </w:rPr>
        <w:t>
      3) білім алушылар контингентіне шаққанда бір білім алушыға толық оқу цикліне саны кемінде 25 бірлік басылымнан келетін оқу және оқу-әдістемелік әдебиеті қорының және цифрлы тасымалдағыштарда оқу жоспарының кемінде 20 % (әскери мамандықтардан басқа) болуы;</w:t>
      </w:r>
      <w:r>
        <w:br/>
      </w:r>
      <w:r>
        <w:rPr>
          <w:rFonts w:ascii="Times New Roman"/>
          <w:b w:val="false"/>
          <w:i w:val="false"/>
          <w:color w:val="000000"/>
          <w:sz w:val="28"/>
        </w:rPr>
        <w:t>
</w:t>
      </w:r>
      <w:r>
        <w:rPr>
          <w:rFonts w:ascii="Times New Roman"/>
          <w:b w:val="false"/>
          <w:i w:val="false"/>
          <w:color w:val="000000"/>
          <w:sz w:val="28"/>
        </w:rPr>
        <w:t>
      4)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5) интернет желісіне қосылған компьютерлік сыныптармен, оқу-зертхана жабдықтарымен, арнайы оқу жабдығымен жарақтандырылуы;</w:t>
      </w:r>
      <w:r>
        <w:br/>
      </w:r>
      <w:r>
        <w:rPr>
          <w:rFonts w:ascii="Times New Roman"/>
          <w:b w:val="false"/>
          <w:i w:val="false"/>
          <w:color w:val="000000"/>
          <w:sz w:val="28"/>
        </w:rPr>
        <w:t>
</w:t>
      </w:r>
      <w:r>
        <w:rPr>
          <w:rFonts w:ascii="Times New Roman"/>
          <w:b w:val="false"/>
          <w:i w:val="false"/>
          <w:color w:val="000000"/>
          <w:sz w:val="28"/>
        </w:rPr>
        <w:t>
      6) практикадан өткізу базалары ретінде белгіленген ұйымдармен жасалған шарттарының болуы;</w:t>
      </w:r>
      <w:r>
        <w:br/>
      </w:r>
      <w:r>
        <w:rPr>
          <w:rFonts w:ascii="Times New Roman"/>
          <w:b w:val="false"/>
          <w:i w:val="false"/>
          <w:color w:val="000000"/>
          <w:sz w:val="28"/>
        </w:rPr>
        <w:t>
</w:t>
      </w:r>
      <w:r>
        <w:rPr>
          <w:rFonts w:ascii="Times New Roman"/>
          <w:b w:val="false"/>
          <w:i w:val="false"/>
          <w:color w:val="000000"/>
          <w:sz w:val="28"/>
        </w:rPr>
        <w:t>
      7)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8)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9)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6. Рухани (діни) бiлiм беру ұйымдарының білім беру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даярлық бейіні бойынша жоғары діни білімі бар және діни бірлестіктер қоятын талаптарға сәйкес келетін штаттағы оқытушылардың болуы;</w:t>
      </w:r>
      <w:r>
        <w:br/>
      </w:r>
      <w:r>
        <w:rPr>
          <w:rFonts w:ascii="Times New Roman"/>
          <w:b w:val="false"/>
          <w:i w:val="false"/>
          <w:color w:val="000000"/>
          <w:sz w:val="28"/>
        </w:rPr>
        <w:t>
</w:t>
      </w:r>
      <w:r>
        <w:rPr>
          <w:rFonts w:ascii="Times New Roman"/>
          <w:b w:val="false"/>
          <w:i w:val="false"/>
          <w:color w:val="000000"/>
          <w:sz w:val="28"/>
        </w:rPr>
        <w:t>
      2) білім алушылар контингентіне шаққанда бір білім алушыға толық оқу цикліне дінтану сараптамасынан өткен саны кемінде 50 бірлік басылымнан келетін оқу әдебиеті қорының және цифрлы тасымалдағыштарда оқу жоспарының кемінде 20 % болуы;</w:t>
      </w:r>
      <w:r>
        <w:br/>
      </w:r>
      <w:r>
        <w:rPr>
          <w:rFonts w:ascii="Times New Roman"/>
          <w:b w:val="false"/>
          <w:i w:val="false"/>
          <w:color w:val="000000"/>
          <w:sz w:val="28"/>
        </w:rPr>
        <w:t>
</w:t>
      </w:r>
      <w:r>
        <w:rPr>
          <w:rFonts w:ascii="Times New Roman"/>
          <w:b w:val="false"/>
          <w:i w:val="false"/>
          <w:color w:val="000000"/>
          <w:sz w:val="28"/>
        </w:rPr>
        <w:t>
      3) меншікті не шаруашылық жүргізу немесе жедел басқару құқығында тиесілі оқу-материалдық активтердің болуы;</w:t>
      </w:r>
      <w:r>
        <w:br/>
      </w:r>
      <w:r>
        <w:rPr>
          <w:rFonts w:ascii="Times New Roman"/>
          <w:b w:val="false"/>
          <w:i w:val="false"/>
          <w:color w:val="000000"/>
          <w:sz w:val="28"/>
        </w:rPr>
        <w:t>
</w:t>
      </w:r>
      <w:r>
        <w:rPr>
          <w:rFonts w:ascii="Times New Roman"/>
          <w:b w:val="false"/>
          <w:i w:val="false"/>
          <w:color w:val="000000"/>
          <w:sz w:val="28"/>
        </w:rPr>
        <w:t>
      4) интернет желісіне қосылған компьютерлік сыныптармен жарақтандырылуы;</w:t>
      </w:r>
      <w:r>
        <w:br/>
      </w:r>
      <w:r>
        <w:rPr>
          <w:rFonts w:ascii="Times New Roman"/>
          <w:b w:val="false"/>
          <w:i w:val="false"/>
          <w:color w:val="000000"/>
          <w:sz w:val="28"/>
        </w:rPr>
        <w:t>
</w:t>
      </w:r>
      <w:r>
        <w:rPr>
          <w:rFonts w:ascii="Times New Roman"/>
          <w:b w:val="false"/>
          <w:i w:val="false"/>
          <w:color w:val="000000"/>
          <w:sz w:val="28"/>
        </w:rPr>
        <w:t>
      5)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6)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7) осы діни білім беру мекемесінің жұмыс істеу орындылығының негіздемесі бар тиісті республикалық діни бірлестіктер мен өңірлік діни бірлестіктер қолдаухатының және Қазақстан Республикасының аумағында діни бірлестікті тіркеу туралы куәлік көшірмесінің болуы;</w:t>
      </w:r>
      <w:r>
        <w:br/>
      </w:r>
      <w:r>
        <w:rPr>
          <w:rFonts w:ascii="Times New Roman"/>
          <w:b w:val="false"/>
          <w:i w:val="false"/>
          <w:color w:val="000000"/>
          <w:sz w:val="28"/>
        </w:rPr>
        <w:t>
</w:t>
      </w:r>
      <w:r>
        <w:rPr>
          <w:rFonts w:ascii="Times New Roman"/>
          <w:b w:val="false"/>
          <w:i w:val="false"/>
          <w:color w:val="000000"/>
          <w:sz w:val="28"/>
        </w:rPr>
        <w:t>
      8) діни бірлестік басшылығы бекіткен даярлық бейіні бойынша білім беру бағдарламаларының және оқу жоспарларының болуы;</w:t>
      </w:r>
      <w:r>
        <w:br/>
      </w:r>
      <w:r>
        <w:rPr>
          <w:rFonts w:ascii="Times New Roman"/>
          <w:b w:val="false"/>
          <w:i w:val="false"/>
          <w:color w:val="000000"/>
          <w:sz w:val="28"/>
        </w:rPr>
        <w:t>
</w:t>
      </w:r>
      <w:r>
        <w:rPr>
          <w:rFonts w:ascii="Times New Roman"/>
          <w:b w:val="false"/>
          <w:i w:val="false"/>
          <w:color w:val="000000"/>
          <w:sz w:val="28"/>
        </w:rPr>
        <w:t>
      9) мәлімделген діни білім беру бағдарламаларына Қазақстан Республикасы Дін істері агенттігінің сараптама қорытындысының болуы.</w:t>
      </w:r>
      <w:r>
        <w:br/>
      </w:r>
      <w:r>
        <w:rPr>
          <w:rFonts w:ascii="Times New Roman"/>
          <w:b w:val="false"/>
          <w:i w:val="false"/>
          <w:color w:val="000000"/>
          <w:sz w:val="28"/>
        </w:rPr>
        <w:t>
</w:t>
      </w:r>
      <w:r>
        <w:rPr>
          <w:rFonts w:ascii="Times New Roman"/>
          <w:b w:val="false"/>
          <w:i w:val="false"/>
          <w:color w:val="000000"/>
          <w:sz w:val="28"/>
        </w:rPr>
        <w:t>
      7. «Бакалавр» академиялық дәрежесін бере отырып, жоғары білім берудің кәсіптік оқу бағдарламаларын іске асыратын білім беру ұйымдарының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жоғары білім берудің кәсіптік оқу бағдарламаларын іске асыру;</w:t>
      </w:r>
      <w:r>
        <w:br/>
      </w:r>
      <w:r>
        <w:rPr>
          <w:rFonts w:ascii="Times New Roman"/>
          <w:b w:val="false"/>
          <w:i w:val="false"/>
          <w:color w:val="000000"/>
          <w:sz w:val="28"/>
        </w:rPr>
        <w:t>
</w:t>
      </w:r>
      <w:r>
        <w:rPr>
          <w:rFonts w:ascii="Times New Roman"/>
          <w:b w:val="false"/>
          <w:i w:val="false"/>
          <w:color w:val="000000"/>
          <w:sz w:val="28"/>
        </w:rPr>
        <w:t>
      2) ұлттық зерттеу университеттері, зерттеу университеттері, ұлттық жоғары оқу орындары, университеттер, академиялар үшін ғылыми-зерттеу және педагогикалық қызмет жүргізу, кадрлардың біліктілігін арттыру және оларды қайта даярлау;</w:t>
      </w:r>
      <w:r>
        <w:br/>
      </w:r>
      <w:r>
        <w:rPr>
          <w:rFonts w:ascii="Times New Roman"/>
          <w:b w:val="false"/>
          <w:i w:val="false"/>
          <w:color w:val="000000"/>
          <w:sz w:val="28"/>
        </w:rPr>
        <w:t>
</w:t>
      </w:r>
      <w:r>
        <w:rPr>
          <w:rFonts w:ascii="Times New Roman"/>
          <w:b w:val="false"/>
          <w:i w:val="false"/>
          <w:color w:val="000000"/>
          <w:sz w:val="28"/>
        </w:rPr>
        <w:t>
      институттар (консерваториялар, жоғары мектептер, жоғары училищелер) үшін педагогикалық қызмет, кадрлардың біліктілігін арттыру және оларды қайта даярлау;</w:t>
      </w:r>
      <w:r>
        <w:br/>
      </w:r>
      <w:r>
        <w:rPr>
          <w:rFonts w:ascii="Times New Roman"/>
          <w:b w:val="false"/>
          <w:i w:val="false"/>
          <w:color w:val="000000"/>
          <w:sz w:val="28"/>
        </w:rPr>
        <w:t>
</w:t>
      </w:r>
      <w:r>
        <w:rPr>
          <w:rFonts w:ascii="Times New Roman"/>
          <w:b w:val="false"/>
          <w:i w:val="false"/>
          <w:color w:val="000000"/>
          <w:sz w:val="28"/>
        </w:rPr>
        <w:t>
      3) бір оқытушыға есептегенде студенттер контингентінің білім берудің мемлекеттік жалпыға міндетті стандарттарына сәйкестігі;</w:t>
      </w:r>
      <w:r>
        <w:br/>
      </w:r>
      <w:r>
        <w:rPr>
          <w:rFonts w:ascii="Times New Roman"/>
          <w:b w:val="false"/>
          <w:i w:val="false"/>
          <w:color w:val="000000"/>
          <w:sz w:val="28"/>
        </w:rPr>
        <w:t>
</w:t>
      </w:r>
      <w:r>
        <w:rPr>
          <w:rFonts w:ascii="Times New Roman"/>
          <w:b w:val="false"/>
          <w:i w:val="false"/>
          <w:color w:val="000000"/>
          <w:sz w:val="28"/>
        </w:rPr>
        <w:t>
      4) штаттағы оқытушылар үлесінің олардың жалпы санының, оның ішінде білім берудің мемлекеттік жалпыға міндетті стандартының базалық циклдері мен бейінді пәндері бойынша:</w:t>
      </w:r>
      <w:r>
        <w:br/>
      </w:r>
      <w:r>
        <w:rPr>
          <w:rFonts w:ascii="Times New Roman"/>
          <w:b w:val="false"/>
          <w:i w:val="false"/>
          <w:color w:val="000000"/>
          <w:sz w:val="28"/>
        </w:rPr>
        <w:t>
</w:t>
      </w:r>
      <w:r>
        <w:rPr>
          <w:rFonts w:ascii="Times New Roman"/>
          <w:b w:val="false"/>
          <w:i w:val="false"/>
          <w:color w:val="000000"/>
          <w:sz w:val="28"/>
        </w:rPr>
        <w:t>
      ұлттық зерттеу университеттері, зерттеу университеттері, ұлттық жоғары оқу орындары, университеттер, академиялар үшін 80 %-дан кем болмауы;</w:t>
      </w:r>
      <w:r>
        <w:br/>
      </w:r>
      <w:r>
        <w:rPr>
          <w:rFonts w:ascii="Times New Roman"/>
          <w:b w:val="false"/>
          <w:i w:val="false"/>
          <w:color w:val="000000"/>
          <w:sz w:val="28"/>
        </w:rPr>
        <w:t>
</w:t>
      </w:r>
      <w:r>
        <w:rPr>
          <w:rFonts w:ascii="Times New Roman"/>
          <w:b w:val="false"/>
          <w:i w:val="false"/>
          <w:color w:val="000000"/>
          <w:sz w:val="28"/>
        </w:rPr>
        <w:t>
      институттар (консерваториялар, жоғары мектептер, жоғары училищелер) үшін 70 %-дан кем болмауы;</w:t>
      </w:r>
      <w:r>
        <w:br/>
      </w:r>
      <w:r>
        <w:rPr>
          <w:rFonts w:ascii="Times New Roman"/>
          <w:b w:val="false"/>
          <w:i w:val="false"/>
          <w:color w:val="000000"/>
          <w:sz w:val="28"/>
        </w:rPr>
        <w:t>
</w:t>
      </w:r>
      <w:r>
        <w:rPr>
          <w:rFonts w:ascii="Times New Roman"/>
          <w:b w:val="false"/>
          <w:i w:val="false"/>
          <w:color w:val="000000"/>
          <w:sz w:val="28"/>
        </w:rPr>
        <w:t>
      педагогикалық мамандықтар үшін білім беру ұйымының түріне қарамастан 80 %-дан кем болмауы;</w:t>
      </w:r>
      <w:r>
        <w:br/>
      </w:r>
      <w:r>
        <w:rPr>
          <w:rFonts w:ascii="Times New Roman"/>
          <w:b w:val="false"/>
          <w:i w:val="false"/>
          <w:color w:val="000000"/>
          <w:sz w:val="28"/>
        </w:rPr>
        <w:t>
</w:t>
      </w:r>
      <w:r>
        <w:rPr>
          <w:rFonts w:ascii="Times New Roman"/>
          <w:b w:val="false"/>
          <w:i w:val="false"/>
          <w:color w:val="000000"/>
          <w:sz w:val="28"/>
        </w:rPr>
        <w:t>
      5) ғылыми дәрежелері және атақтары бар оқытушылар үлесінің штаттағы оқытушылар санының:</w:t>
      </w:r>
      <w:r>
        <w:br/>
      </w:r>
      <w:r>
        <w:rPr>
          <w:rFonts w:ascii="Times New Roman"/>
          <w:b w:val="false"/>
          <w:i w:val="false"/>
          <w:color w:val="000000"/>
          <w:sz w:val="28"/>
        </w:rPr>
        <w:t>
</w:t>
      </w:r>
      <w:r>
        <w:rPr>
          <w:rFonts w:ascii="Times New Roman"/>
          <w:b w:val="false"/>
          <w:i w:val="false"/>
          <w:color w:val="000000"/>
          <w:sz w:val="28"/>
        </w:rPr>
        <w:t>
      ұлттық зерттеу университеттері, зерттеу университеттері үшін 70 %-дан кем болмауы;</w:t>
      </w:r>
      <w:r>
        <w:br/>
      </w:r>
      <w:r>
        <w:rPr>
          <w:rFonts w:ascii="Times New Roman"/>
          <w:b w:val="false"/>
          <w:i w:val="false"/>
          <w:color w:val="000000"/>
          <w:sz w:val="28"/>
        </w:rPr>
        <w:t>
</w:t>
      </w:r>
      <w:r>
        <w:rPr>
          <w:rFonts w:ascii="Times New Roman"/>
          <w:b w:val="false"/>
          <w:i w:val="false"/>
          <w:color w:val="000000"/>
          <w:sz w:val="28"/>
        </w:rPr>
        <w:t>
      ұлттық жоғары оқу орындары (өнер және мәдени білім беру ұйымдарынан басқа) үшін 55 %-дан кем болмауы;</w:t>
      </w:r>
      <w:r>
        <w:br/>
      </w:r>
      <w:r>
        <w:rPr>
          <w:rFonts w:ascii="Times New Roman"/>
          <w:b w:val="false"/>
          <w:i w:val="false"/>
          <w:color w:val="000000"/>
          <w:sz w:val="28"/>
        </w:rPr>
        <w:t>
</w:t>
      </w:r>
      <w:r>
        <w:rPr>
          <w:rFonts w:ascii="Times New Roman"/>
          <w:b w:val="false"/>
          <w:i w:val="false"/>
          <w:color w:val="000000"/>
          <w:sz w:val="28"/>
        </w:rPr>
        <w:t>
      университеттер, академиялар үшін 50 %-дан кем болмауы;</w:t>
      </w:r>
      <w:r>
        <w:br/>
      </w:r>
      <w:r>
        <w:rPr>
          <w:rFonts w:ascii="Times New Roman"/>
          <w:b w:val="false"/>
          <w:i w:val="false"/>
          <w:color w:val="000000"/>
          <w:sz w:val="28"/>
        </w:rPr>
        <w:t>
</w:t>
      </w:r>
      <w:r>
        <w:rPr>
          <w:rFonts w:ascii="Times New Roman"/>
          <w:b w:val="false"/>
          <w:i w:val="false"/>
          <w:color w:val="000000"/>
          <w:sz w:val="28"/>
        </w:rPr>
        <w:t>
      институттар (жоғары мектептер, жоғары училищелер) үшін 45 %-дан кем болмауы;</w:t>
      </w:r>
      <w:r>
        <w:br/>
      </w:r>
      <w:r>
        <w:rPr>
          <w:rFonts w:ascii="Times New Roman"/>
          <w:b w:val="false"/>
          <w:i w:val="false"/>
          <w:color w:val="000000"/>
          <w:sz w:val="28"/>
        </w:rPr>
        <w:t>
</w:t>
      </w:r>
      <w:r>
        <w:rPr>
          <w:rFonts w:ascii="Times New Roman"/>
          <w:b w:val="false"/>
          <w:i w:val="false"/>
          <w:color w:val="000000"/>
          <w:sz w:val="28"/>
        </w:rPr>
        <w:t>
      педагогикалық институттар үшін 50 %-дан кем болмауы;</w:t>
      </w:r>
      <w:r>
        <w:br/>
      </w:r>
      <w:r>
        <w:rPr>
          <w:rFonts w:ascii="Times New Roman"/>
          <w:b w:val="false"/>
          <w:i w:val="false"/>
          <w:color w:val="000000"/>
          <w:sz w:val="28"/>
        </w:rPr>
        <w:t>
</w:t>
      </w:r>
      <w:r>
        <w:rPr>
          <w:rFonts w:ascii="Times New Roman"/>
          <w:b w:val="false"/>
          <w:i w:val="false"/>
          <w:color w:val="000000"/>
          <w:sz w:val="28"/>
        </w:rPr>
        <w:t>
      өнер және мәдени білім беру ұйымдары үшін ғылыми дәрежелері, сонымен қатар құрметті атақтары бар және оларға теңестірілген оқытушылар үлесінің 35 %-дан кем болмауы;</w:t>
      </w:r>
      <w:r>
        <w:br/>
      </w:r>
      <w:r>
        <w:rPr>
          <w:rFonts w:ascii="Times New Roman"/>
          <w:b w:val="false"/>
          <w:i w:val="false"/>
          <w:color w:val="000000"/>
          <w:sz w:val="28"/>
        </w:rPr>
        <w:t>
</w:t>
      </w:r>
      <w:r>
        <w:rPr>
          <w:rFonts w:ascii="Times New Roman"/>
          <w:b w:val="false"/>
          <w:i w:val="false"/>
          <w:color w:val="000000"/>
          <w:sz w:val="28"/>
        </w:rPr>
        <w:t>
      Қорғаныс, Ішкі істер, Төтенше жағдайлар министрліктеріне және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 үшін әскери (арнайы) атағы полковниктен төмен емес, «спорт шебері» және одан жоғары атағы бар ғылыми дәрежелері және атақтары бар оқытушылар үлесінің 40 %-дан кем болмауы;</w:t>
      </w:r>
      <w:r>
        <w:br/>
      </w:r>
      <w:r>
        <w:rPr>
          <w:rFonts w:ascii="Times New Roman"/>
          <w:b w:val="false"/>
          <w:i w:val="false"/>
          <w:color w:val="000000"/>
          <w:sz w:val="28"/>
        </w:rPr>
        <w:t>
</w:t>
      </w:r>
      <w:r>
        <w:rPr>
          <w:rFonts w:ascii="Times New Roman"/>
          <w:b w:val="false"/>
          <w:i w:val="false"/>
          <w:color w:val="000000"/>
          <w:sz w:val="28"/>
        </w:rPr>
        <w:t>
      6) студенттердің келтірілген контингентіне шаққанда толық оқу цикліне саны кемінде 140 бірлік басылымнан келетін оқу және ғылыми әдебиет қорының болуы. Бұл ретте қазақ және орыс тілдеріндегі басылымдар оқыту тілдері бойынша оқушылар контингентіне барабар болуы тиіс.</w:t>
      </w:r>
      <w:r>
        <w:br/>
      </w:r>
      <w:r>
        <w:rPr>
          <w:rFonts w:ascii="Times New Roman"/>
          <w:b w:val="false"/>
          <w:i w:val="false"/>
          <w:color w:val="000000"/>
          <w:sz w:val="28"/>
        </w:rPr>
        <w:t>
</w:t>
      </w:r>
      <w:r>
        <w:rPr>
          <w:rFonts w:ascii="Times New Roman"/>
          <w:b w:val="false"/>
          <w:i w:val="false"/>
          <w:color w:val="000000"/>
          <w:sz w:val="28"/>
        </w:rPr>
        <w:t>
      Кітапхана қоры соңғы 5 жылдағы әлеуметтік-гуманитарлық бейіндегі пәндер бойынша; жаратылыстану, техникалық, ауыл шаруашылығы пәндер бойынша соңғы 10 жылдағы басылып шығарылған негізгі оқу әдебиетін қамтуға тиіс.</w:t>
      </w:r>
      <w:r>
        <w:br/>
      </w:r>
      <w:r>
        <w:rPr>
          <w:rFonts w:ascii="Times New Roman"/>
          <w:b w:val="false"/>
          <w:i w:val="false"/>
          <w:color w:val="000000"/>
          <w:sz w:val="28"/>
        </w:rPr>
        <w:t>
</w:t>
      </w:r>
      <w:r>
        <w:rPr>
          <w:rFonts w:ascii="Times New Roman"/>
          <w:b w:val="false"/>
          <w:i w:val="false"/>
          <w:color w:val="000000"/>
          <w:sz w:val="28"/>
        </w:rPr>
        <w:t>
      Мамандықтың (әскери мамандықтардан басқа) оқу жоспарының базалық және бейінді пәндерінің цифрлы тасымалдағыштардағы оқу әдебиетімен қамтамасыз етілуі - 40 %-нан кем болмауы.</w:t>
      </w:r>
      <w:r>
        <w:br/>
      </w:r>
      <w:r>
        <w:rPr>
          <w:rFonts w:ascii="Times New Roman"/>
          <w:b w:val="false"/>
          <w:i w:val="false"/>
          <w:color w:val="000000"/>
          <w:sz w:val="28"/>
        </w:rPr>
        <w:t>
</w:t>
      </w:r>
      <w:r>
        <w:rPr>
          <w:rFonts w:ascii="Times New Roman"/>
          <w:b w:val="false"/>
          <w:i w:val="false"/>
          <w:color w:val="000000"/>
          <w:sz w:val="28"/>
        </w:rPr>
        <w:t>
      Басқа кітапхана және ғылыми қорлармен, оның ішінде республикалық жоғары оқу орындары аралық электрондық кітапханамен шарттарының болуы;</w:t>
      </w:r>
      <w:r>
        <w:br/>
      </w:r>
      <w:r>
        <w:rPr>
          <w:rFonts w:ascii="Times New Roman"/>
          <w:b w:val="false"/>
          <w:i w:val="false"/>
          <w:color w:val="000000"/>
          <w:sz w:val="28"/>
        </w:rPr>
        <w:t>
</w:t>
      </w:r>
      <w:r>
        <w:rPr>
          <w:rFonts w:ascii="Times New Roman"/>
          <w:b w:val="false"/>
          <w:i w:val="false"/>
          <w:color w:val="000000"/>
          <w:sz w:val="28"/>
        </w:rPr>
        <w:t>
      7)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8) кәсіптік оқу бағдарламаларын іске асыру үшін қажетті оқу-зертхана жабдықтарымен жарақтандырылуы;</w:t>
      </w:r>
      <w:r>
        <w:br/>
      </w:r>
      <w:r>
        <w:rPr>
          <w:rFonts w:ascii="Times New Roman"/>
          <w:b w:val="false"/>
          <w:i w:val="false"/>
          <w:color w:val="000000"/>
          <w:sz w:val="28"/>
        </w:rPr>
        <w:t>
</w:t>
      </w:r>
      <w:r>
        <w:rPr>
          <w:rFonts w:ascii="Times New Roman"/>
          <w:b w:val="false"/>
          <w:i w:val="false"/>
          <w:color w:val="000000"/>
          <w:sz w:val="28"/>
        </w:rPr>
        <w:t>
      9) студенттің бір жылғы оқуына жұмсалатын ең төменгі шығыстардың Қазақстан Республикасы Үкіметінің тиісті оқу жылына жоғары білімді мамандар даярлауға арналған мемлекеттік тапсырысты бекіту жөніндегі қаулысында көзделген шығыстар деңгейіне сәйкестігі;</w:t>
      </w:r>
      <w:r>
        <w:br/>
      </w:r>
      <w:r>
        <w:rPr>
          <w:rFonts w:ascii="Times New Roman"/>
          <w:b w:val="false"/>
          <w:i w:val="false"/>
          <w:color w:val="000000"/>
          <w:sz w:val="28"/>
        </w:rPr>
        <w:t>
</w:t>
      </w:r>
      <w:r>
        <w:rPr>
          <w:rFonts w:ascii="Times New Roman"/>
          <w:b w:val="false"/>
          <w:i w:val="false"/>
          <w:color w:val="000000"/>
          <w:sz w:val="28"/>
        </w:rPr>
        <w:t>
      10) практикадан өткізу базалары ретінде белгіленген ұйымдармен жасалған шарттардың болуы;</w:t>
      </w:r>
      <w:r>
        <w:br/>
      </w:r>
      <w:r>
        <w:rPr>
          <w:rFonts w:ascii="Times New Roman"/>
          <w:b w:val="false"/>
          <w:i w:val="false"/>
          <w:color w:val="000000"/>
          <w:sz w:val="28"/>
        </w:rPr>
        <w:t>
</w:t>
      </w:r>
      <w:r>
        <w:rPr>
          <w:rFonts w:ascii="Times New Roman"/>
          <w:b w:val="false"/>
          <w:i w:val="false"/>
          <w:color w:val="000000"/>
          <w:sz w:val="28"/>
        </w:rPr>
        <w:t>
      педагогикалық мамандықтар үшін педагогикалық практика базалары бойынша мектепке дейінгі, бастауыш, негізгі және жалпы орта, техникалық және кәсіптік, орта білімнен кейінгі білім беру ұйымдарымен тікелей шарттардың болуы;</w:t>
      </w:r>
      <w:r>
        <w:br/>
      </w:r>
      <w:r>
        <w:rPr>
          <w:rFonts w:ascii="Times New Roman"/>
          <w:b w:val="false"/>
          <w:i w:val="false"/>
          <w:color w:val="000000"/>
          <w:sz w:val="28"/>
        </w:rPr>
        <w:t>
</w:t>
      </w:r>
      <w:r>
        <w:rPr>
          <w:rFonts w:ascii="Times New Roman"/>
          <w:b w:val="false"/>
          <w:i w:val="false"/>
          <w:color w:val="000000"/>
          <w:sz w:val="28"/>
        </w:rPr>
        <w:t>
      11) әскери мамандықтардан басқа, ұйымдармен және кәсіпорындармен ғылыми-зерттеу және тәжірибелік-конструкторлық жұмыстар жүргізуге шарттардың болуы;</w:t>
      </w:r>
      <w:r>
        <w:br/>
      </w:r>
      <w:r>
        <w:rPr>
          <w:rFonts w:ascii="Times New Roman"/>
          <w:b w:val="false"/>
          <w:i w:val="false"/>
          <w:color w:val="000000"/>
          <w:sz w:val="28"/>
        </w:rPr>
        <w:t>
</w:t>
      </w:r>
      <w:r>
        <w:rPr>
          <w:rFonts w:ascii="Times New Roman"/>
          <w:b w:val="false"/>
          <w:i w:val="false"/>
          <w:color w:val="000000"/>
          <w:sz w:val="28"/>
        </w:rPr>
        <w:t>
      12)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13)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14)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8. «Магистр» академиялық дәрежесін бере отырып, жоғары оқу орнынан кейінгі білім берудің кәсіптік оқу бағдарламаларын іске асыратын білім беру ұйымдарының және ғылыми ұйымдардың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жоғары білім берудің кәсіптік оқу бағдарламаларын іске асыру; педагогикалық мамандықтар үшін қазіргі заманғы педагогикалық оқу технологиялары саласында ғылыми-зерттеу жұмыстарын жүргізу;</w:t>
      </w:r>
      <w:r>
        <w:br/>
      </w:r>
      <w:r>
        <w:rPr>
          <w:rFonts w:ascii="Times New Roman"/>
          <w:b w:val="false"/>
          <w:i w:val="false"/>
          <w:color w:val="000000"/>
          <w:sz w:val="28"/>
        </w:rPr>
        <w:t>
</w:t>
      </w:r>
      <w:r>
        <w:rPr>
          <w:rFonts w:ascii="Times New Roman"/>
          <w:b w:val="false"/>
          <w:i w:val="false"/>
          <w:color w:val="000000"/>
          <w:sz w:val="28"/>
        </w:rPr>
        <w:t>
      2) магистранттарды даярлау мамандығының білім беру ұйымдары ғылыми зерттеулерінің тақырыптарына сәйкестігі;</w:t>
      </w:r>
      <w:r>
        <w:br/>
      </w:r>
      <w:r>
        <w:rPr>
          <w:rFonts w:ascii="Times New Roman"/>
          <w:b w:val="false"/>
          <w:i w:val="false"/>
          <w:color w:val="000000"/>
          <w:sz w:val="28"/>
        </w:rPr>
        <w:t>
</w:t>
      </w:r>
      <w:r>
        <w:rPr>
          <w:rFonts w:ascii="Times New Roman"/>
          <w:b w:val="false"/>
          <w:i w:val="false"/>
          <w:color w:val="000000"/>
          <w:sz w:val="28"/>
        </w:rPr>
        <w:t>
      3) тиісті даярлау бағыттары бойынша ғылыми, ғылыми-білім беру, өндірістік және ғылыми-өндірістік орталықтармен ынтымақтастық туралы келісімдердің болуы;</w:t>
      </w:r>
      <w:r>
        <w:br/>
      </w:r>
      <w:r>
        <w:rPr>
          <w:rFonts w:ascii="Times New Roman"/>
          <w:b w:val="false"/>
          <w:i w:val="false"/>
          <w:color w:val="000000"/>
          <w:sz w:val="28"/>
        </w:rPr>
        <w:t>
</w:t>
      </w:r>
      <w:r>
        <w:rPr>
          <w:rFonts w:ascii="Times New Roman"/>
          <w:b w:val="false"/>
          <w:i w:val="false"/>
          <w:color w:val="000000"/>
          <w:sz w:val="28"/>
        </w:rPr>
        <w:t>
      педагогикалық мамандықтар үшін бірлескен білім беру және ғылыми жобаларды, оқытушылар және магистранттардың тағылымдамадан өтуін орындау жөнінде шетелдік университеттермен тікелей шарттардың болуы;</w:t>
      </w:r>
      <w:r>
        <w:br/>
      </w:r>
      <w:r>
        <w:rPr>
          <w:rFonts w:ascii="Times New Roman"/>
          <w:b w:val="false"/>
          <w:i w:val="false"/>
          <w:color w:val="000000"/>
          <w:sz w:val="28"/>
        </w:rPr>
        <w:t>
</w:t>
      </w:r>
      <w:r>
        <w:rPr>
          <w:rFonts w:ascii="Times New Roman"/>
          <w:b w:val="false"/>
          <w:i w:val="false"/>
          <w:color w:val="000000"/>
          <w:sz w:val="28"/>
        </w:rPr>
        <w:t>
      4)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5) тиісті мамандық бойынша штатта ғылым докторының немесе екі философия (PhD) докторының болуы; әскери мамандықтар үшін ғылым докторының немесе философия (PhD) докторының болуы;</w:t>
      </w:r>
      <w:r>
        <w:br/>
      </w:r>
      <w:r>
        <w:rPr>
          <w:rFonts w:ascii="Times New Roman"/>
          <w:b w:val="false"/>
          <w:i w:val="false"/>
          <w:color w:val="000000"/>
          <w:sz w:val="28"/>
        </w:rPr>
        <w:t>
</w:t>
      </w:r>
      <w:r>
        <w:rPr>
          <w:rFonts w:ascii="Times New Roman"/>
          <w:b w:val="false"/>
          <w:i w:val="false"/>
          <w:color w:val="000000"/>
          <w:sz w:val="28"/>
        </w:rPr>
        <w:t>
      6) ғылыми дәрежелері және атақтары бар оқытушылар үлесінің штаттағы оқытушылар санының 70 %-дан кем болмауы;</w:t>
      </w:r>
      <w:r>
        <w:br/>
      </w:r>
      <w:r>
        <w:rPr>
          <w:rFonts w:ascii="Times New Roman"/>
          <w:b w:val="false"/>
          <w:i w:val="false"/>
          <w:color w:val="000000"/>
          <w:sz w:val="28"/>
        </w:rPr>
        <w:t>
</w:t>
      </w:r>
      <w:r>
        <w:rPr>
          <w:rFonts w:ascii="Times New Roman"/>
          <w:b w:val="false"/>
          <w:i w:val="false"/>
          <w:color w:val="000000"/>
          <w:sz w:val="28"/>
        </w:rPr>
        <w:t>
      мәдениет және өнер білім беру ұйымдары үшін, оның ішінде Қазақстан Республикасының құрметті атағы бар және оларға теңестірілген оқытушылар үлесінің 60 %-дан кем болмауы;</w:t>
      </w:r>
      <w:r>
        <w:br/>
      </w:r>
      <w:r>
        <w:rPr>
          <w:rFonts w:ascii="Times New Roman"/>
          <w:b w:val="false"/>
          <w:i w:val="false"/>
          <w:color w:val="000000"/>
          <w:sz w:val="28"/>
        </w:rPr>
        <w:t>
</w:t>
      </w:r>
      <w:r>
        <w:rPr>
          <w:rFonts w:ascii="Times New Roman"/>
          <w:b w:val="false"/>
          <w:i w:val="false"/>
          <w:color w:val="000000"/>
          <w:sz w:val="28"/>
        </w:rPr>
        <w:t>
      Қорғаныс, Ішкі істер, Төтенше жағдайлар министрліктеріне және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 үшін әскери (арнайы) атағы полковниктен төмен емес ғылыми дәрежелері және атақтары бар оқытушылар үлесінің 60 %-дан кем болмауы;</w:t>
      </w:r>
      <w:r>
        <w:br/>
      </w:r>
      <w:r>
        <w:rPr>
          <w:rFonts w:ascii="Times New Roman"/>
          <w:b w:val="false"/>
          <w:i w:val="false"/>
          <w:color w:val="000000"/>
          <w:sz w:val="28"/>
        </w:rPr>
        <w:t>
</w:t>
      </w:r>
      <w:r>
        <w:rPr>
          <w:rFonts w:ascii="Times New Roman"/>
          <w:b w:val="false"/>
          <w:i w:val="false"/>
          <w:color w:val="000000"/>
          <w:sz w:val="28"/>
        </w:rPr>
        <w:t>
      7) тиісті бейіндегі ғылыми дәрежесі, кемінде үш жыл ғылыми-педагогикалық жұмыс өтілі, отандық және шетелдік басылымдарда ғылыми жарияланымдары, магистрлік даярлық мамандығы бойынша оқу құралдары бар жетекші мамандардың, штаттағы оқытушылардың магистранттарға ғылыми жетекшілікті жүзеге асыруы;</w:t>
      </w:r>
      <w:r>
        <w:br/>
      </w:r>
      <w:r>
        <w:rPr>
          <w:rFonts w:ascii="Times New Roman"/>
          <w:b w:val="false"/>
          <w:i w:val="false"/>
          <w:color w:val="000000"/>
          <w:sz w:val="28"/>
        </w:rPr>
        <w:t>
</w:t>
      </w:r>
      <w:r>
        <w:rPr>
          <w:rFonts w:ascii="Times New Roman"/>
          <w:b w:val="false"/>
          <w:i w:val="false"/>
          <w:color w:val="000000"/>
          <w:sz w:val="28"/>
        </w:rPr>
        <w:t>
      8) әскери мамандықтардан басқа, ұйымдармен және кәсіпорындармен ғылыми зерттеу және тәжірибелік-конструкторлық жұмыстар жүргізуге шарттардың болуы;</w:t>
      </w:r>
      <w:r>
        <w:br/>
      </w:r>
      <w:r>
        <w:rPr>
          <w:rFonts w:ascii="Times New Roman"/>
          <w:b w:val="false"/>
          <w:i w:val="false"/>
          <w:color w:val="000000"/>
          <w:sz w:val="28"/>
        </w:rPr>
        <w:t>
</w:t>
      </w:r>
      <w:r>
        <w:rPr>
          <w:rFonts w:ascii="Times New Roman"/>
          <w:b w:val="false"/>
          <w:i w:val="false"/>
          <w:color w:val="000000"/>
          <w:sz w:val="28"/>
        </w:rPr>
        <w:t>
      9) тиісті ғылыми даярлық мамандықтары бойынша мамандандырылған ғылыми-техникалық, ғылыми-әдістемелік, клиникалық, эксперименттік базаның болуы;</w:t>
      </w:r>
      <w:r>
        <w:br/>
      </w:r>
      <w:r>
        <w:rPr>
          <w:rFonts w:ascii="Times New Roman"/>
          <w:b w:val="false"/>
          <w:i w:val="false"/>
          <w:color w:val="000000"/>
          <w:sz w:val="28"/>
        </w:rPr>
        <w:t>
</w:t>
      </w:r>
      <w:r>
        <w:rPr>
          <w:rFonts w:ascii="Times New Roman"/>
          <w:b w:val="false"/>
          <w:i w:val="false"/>
          <w:color w:val="000000"/>
          <w:sz w:val="28"/>
        </w:rPr>
        <w:t>
      10) меншікті не шаруашылық жүргізу немесе жедел басқару құқығындағы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11) магистранттың бір жылғы оқуына арналған ең төменгі шығыстардың Қазақстан Республикасы Үкіметінің тиісті оқу жылына арналған жоғары оқу орнынан кейінгі білімі бар мамандар даярлауға арналған мемлекеттік тапсырысты бекіту жөніндегі қаулысында көзделген шығыстар деңгейіне сәйкестігі;</w:t>
      </w:r>
      <w:r>
        <w:br/>
      </w:r>
      <w:r>
        <w:rPr>
          <w:rFonts w:ascii="Times New Roman"/>
          <w:b w:val="false"/>
          <w:i w:val="false"/>
          <w:color w:val="000000"/>
          <w:sz w:val="28"/>
        </w:rPr>
        <w:t>
</w:t>
      </w:r>
      <w:r>
        <w:rPr>
          <w:rFonts w:ascii="Times New Roman"/>
          <w:b w:val="false"/>
          <w:i w:val="false"/>
          <w:color w:val="000000"/>
          <w:sz w:val="28"/>
        </w:rPr>
        <w:t>
      12) білім беру бағдарламаларын іске асыру үшін қажетті және қазіргі заманғы талаптарға сай келетін оқу-зертхана жабдықтарымен жарақтандырылуы;</w:t>
      </w:r>
      <w:r>
        <w:br/>
      </w:r>
      <w:r>
        <w:rPr>
          <w:rFonts w:ascii="Times New Roman"/>
          <w:b w:val="false"/>
          <w:i w:val="false"/>
          <w:color w:val="000000"/>
          <w:sz w:val="28"/>
        </w:rPr>
        <w:t>
</w:t>
      </w:r>
      <w:r>
        <w:rPr>
          <w:rFonts w:ascii="Times New Roman"/>
          <w:b w:val="false"/>
          <w:i w:val="false"/>
          <w:color w:val="000000"/>
          <w:sz w:val="28"/>
        </w:rPr>
        <w:t>
      13) практикадан өткізу базалары ретінде белгіленген ұйымдармен, оның ішінде шетелдік ғылыми тағылымдамадан өтуге жасалған шарттардың болуы;</w:t>
      </w:r>
      <w:r>
        <w:br/>
      </w:r>
      <w:r>
        <w:rPr>
          <w:rFonts w:ascii="Times New Roman"/>
          <w:b w:val="false"/>
          <w:i w:val="false"/>
          <w:color w:val="000000"/>
          <w:sz w:val="28"/>
        </w:rPr>
        <w:t>
</w:t>
      </w:r>
      <w:r>
        <w:rPr>
          <w:rFonts w:ascii="Times New Roman"/>
          <w:b w:val="false"/>
          <w:i w:val="false"/>
          <w:color w:val="000000"/>
          <w:sz w:val="28"/>
        </w:rPr>
        <w:t>
      14)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15)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9. Жоғары оқу орнынан кейінгі медициналық білім берудің (резидентура) кәсіптік оқу бағдарламаларын іске асыратын білім беру ұйымдарының және ғылыми ұйымдардың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кемінде үш жыл ғылыми-педагогикалық жұмыс өтілі, даярлық бейіні бойынша отандық және шетелдік басылымдарда, халықаралық конференциялардағы еңбектерінде ғылыми жарияланымдары, оқу құралдары бар кемінде екі даярлық бейіні бойынша ғылыми дәрежелі штаттық маманның болуы;</w:t>
      </w:r>
      <w:r>
        <w:br/>
      </w:r>
      <w:r>
        <w:rPr>
          <w:rFonts w:ascii="Times New Roman"/>
          <w:b w:val="false"/>
          <w:i w:val="false"/>
          <w:color w:val="000000"/>
          <w:sz w:val="28"/>
        </w:rPr>
        <w:t>
</w:t>
      </w:r>
      <w:r>
        <w:rPr>
          <w:rFonts w:ascii="Times New Roman"/>
          <w:b w:val="false"/>
          <w:i w:val="false"/>
          <w:color w:val="000000"/>
          <w:sz w:val="28"/>
        </w:rPr>
        <w:t>
      2) тиісті ғылыми даярлық мамандықтары бойынша мамандандырылған ғылыми-әдістемелік, клиникалық, материалдық-техникалық базаның болуы;</w:t>
      </w:r>
      <w:r>
        <w:br/>
      </w:r>
      <w:r>
        <w:rPr>
          <w:rFonts w:ascii="Times New Roman"/>
          <w:b w:val="false"/>
          <w:i w:val="false"/>
          <w:color w:val="000000"/>
          <w:sz w:val="28"/>
        </w:rPr>
        <w:t>
</w:t>
      </w:r>
      <w:r>
        <w:rPr>
          <w:rFonts w:ascii="Times New Roman"/>
          <w:b w:val="false"/>
          <w:i w:val="false"/>
          <w:color w:val="000000"/>
          <w:sz w:val="28"/>
        </w:rPr>
        <w:t>
      3) қажетті жабдықпен, зертханалармен, кітапханамен қамтамасыз етілуі;</w:t>
      </w:r>
      <w:r>
        <w:br/>
      </w:r>
      <w:r>
        <w:rPr>
          <w:rFonts w:ascii="Times New Roman"/>
          <w:b w:val="false"/>
          <w:i w:val="false"/>
          <w:color w:val="000000"/>
          <w:sz w:val="28"/>
        </w:rPr>
        <w:t>
</w:t>
      </w:r>
      <w:r>
        <w:rPr>
          <w:rFonts w:ascii="Times New Roman"/>
          <w:b w:val="false"/>
          <w:i w:val="false"/>
          <w:color w:val="000000"/>
          <w:sz w:val="28"/>
        </w:rPr>
        <w:t>
      4)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5) тыңдаушының бір жылғы оқуына жұмсалатын ең төменгі шығыстардың Қазақстан Республикасы Үкіметінің тиісті оқу жылына арналған жоғары оқу орнынан кейінгі білімді мамандар даярлауға арналған мемлекеттік тапсырысты бекіту жөніндегі қаулысында көзделген шығыстар деңгейіне сәйкестігі;</w:t>
      </w:r>
      <w:r>
        <w:br/>
      </w:r>
      <w:r>
        <w:rPr>
          <w:rFonts w:ascii="Times New Roman"/>
          <w:b w:val="false"/>
          <w:i w:val="false"/>
          <w:color w:val="000000"/>
          <w:sz w:val="28"/>
        </w:rPr>
        <w:t>
</w:t>
      </w:r>
      <w:r>
        <w:rPr>
          <w:rFonts w:ascii="Times New Roman"/>
          <w:b w:val="false"/>
          <w:i w:val="false"/>
          <w:color w:val="000000"/>
          <w:sz w:val="28"/>
        </w:rPr>
        <w:t>
      6) практикадан өткізу базалары ретінде белгіленген ұйымдармен (ғылыми ұйымдарды қоспағанда) жасалған шарттардың болуы;</w:t>
      </w:r>
      <w:r>
        <w:br/>
      </w:r>
      <w:r>
        <w:rPr>
          <w:rFonts w:ascii="Times New Roman"/>
          <w:b w:val="false"/>
          <w:i w:val="false"/>
          <w:color w:val="000000"/>
          <w:sz w:val="28"/>
        </w:rPr>
        <w:t>
</w:t>
      </w:r>
      <w:r>
        <w:rPr>
          <w:rFonts w:ascii="Times New Roman"/>
          <w:b w:val="false"/>
          <w:i w:val="false"/>
          <w:color w:val="000000"/>
          <w:sz w:val="28"/>
        </w:rPr>
        <w:t>
      7)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8)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9)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10. Философия (PhD) докторы және бейіні бойынша доктор (адъюнктура) ғылыми дәрежесін бере отырып, Қорғаныс, Ішкі істер, Төтенше жағдайлар министрліктеріне және Ұлттық қауіпсіздік комитетіне, Экономикалық қылмысқа және сыбайлас жемқорлыққа қарсы күрес агенттігіне (қаржы полициясы) ведомстволық бағыныстағы білім беру ұйымдарының, сондай-ақ жоғары оқу орнынан кейінгі әскери білімнің кәсіптік оқу бағдарламаларын іске асыратын білім беру ұйымдарының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кемінде үш жыл ғылыми-педагогикалық жұмыс өтілі, даярлық бейіні бойынша отандық және шетелдік басылымдарда, халықаралық конференциялардың еңбектерінде ғылыми жарияланымдары, оқу құралдары бар әрбір ғылыми даярлау мамандығы бойынша кемінде бір штаттық ғылым докторының болуы;</w:t>
      </w:r>
      <w:r>
        <w:br/>
      </w:r>
      <w:r>
        <w:rPr>
          <w:rFonts w:ascii="Times New Roman"/>
          <w:b w:val="false"/>
          <w:i w:val="false"/>
          <w:color w:val="000000"/>
          <w:sz w:val="28"/>
        </w:rPr>
        <w:t>
</w:t>
      </w:r>
      <w:r>
        <w:rPr>
          <w:rFonts w:ascii="Times New Roman"/>
          <w:b w:val="false"/>
          <w:i w:val="false"/>
          <w:color w:val="000000"/>
          <w:sz w:val="28"/>
        </w:rPr>
        <w:t>
      2) ғылыми дәрежелері мен атақтары бар, оқытушылар үлесінің әскери (арнайы) атағы полковниктен төмен емес штаттағы оқытушылар санының 100 %-нан кем болмауы;</w:t>
      </w:r>
      <w:r>
        <w:br/>
      </w:r>
      <w:r>
        <w:rPr>
          <w:rFonts w:ascii="Times New Roman"/>
          <w:b w:val="false"/>
          <w:i w:val="false"/>
          <w:color w:val="000000"/>
          <w:sz w:val="28"/>
        </w:rPr>
        <w:t>
</w:t>
      </w:r>
      <w:r>
        <w:rPr>
          <w:rFonts w:ascii="Times New Roman"/>
          <w:b w:val="false"/>
          <w:i w:val="false"/>
          <w:color w:val="000000"/>
          <w:sz w:val="28"/>
        </w:rPr>
        <w:t>
      3) тиісті мамандық бойынша ғылыми алмасу мәселелерін регламенттейтін ведомствоаралық шарттардың болуы;</w:t>
      </w:r>
      <w:r>
        <w:br/>
      </w:r>
      <w:r>
        <w:rPr>
          <w:rFonts w:ascii="Times New Roman"/>
          <w:b w:val="false"/>
          <w:i w:val="false"/>
          <w:color w:val="000000"/>
          <w:sz w:val="28"/>
        </w:rPr>
        <w:t>
</w:t>
      </w:r>
      <w:r>
        <w:rPr>
          <w:rFonts w:ascii="Times New Roman"/>
          <w:b w:val="false"/>
          <w:i w:val="false"/>
          <w:color w:val="000000"/>
          <w:sz w:val="28"/>
        </w:rPr>
        <w:t>
      4) тиісті ғылыми даярлық мамандықтары бойынша мамандандырылған ғылыми-техникалық, ғылыми-әдістемелік, тәжірибелік және материалдық-техникалық базаның болуы;</w:t>
      </w:r>
      <w:r>
        <w:br/>
      </w:r>
      <w:r>
        <w:rPr>
          <w:rFonts w:ascii="Times New Roman"/>
          <w:b w:val="false"/>
          <w:i w:val="false"/>
          <w:color w:val="000000"/>
          <w:sz w:val="28"/>
        </w:rPr>
        <w:t>
</w:t>
      </w:r>
      <w:r>
        <w:rPr>
          <w:rFonts w:ascii="Times New Roman"/>
          <w:b w:val="false"/>
          <w:i w:val="false"/>
          <w:color w:val="000000"/>
          <w:sz w:val="28"/>
        </w:rPr>
        <w:t>
      5) қажетті жабдықпен, зертханалармен, кітапханамен қамтамасыз етілуі;</w:t>
      </w:r>
      <w:r>
        <w:br/>
      </w:r>
      <w:r>
        <w:rPr>
          <w:rFonts w:ascii="Times New Roman"/>
          <w:b w:val="false"/>
          <w:i w:val="false"/>
          <w:color w:val="000000"/>
          <w:sz w:val="28"/>
        </w:rPr>
        <w:t>
</w:t>
      </w:r>
      <w:r>
        <w:rPr>
          <w:rFonts w:ascii="Times New Roman"/>
          <w:b w:val="false"/>
          <w:i w:val="false"/>
          <w:color w:val="000000"/>
          <w:sz w:val="28"/>
        </w:rPr>
        <w:t>
      6)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7) тыңдаушының бір жылғы оқуына жұмсалатын ең төменгі шығыстардың тиісті оқу жылына жоғары оқу орнынан кейінгі білімді мамандар даярлауға арналған мемлекеттік тапсырысты бекіту жөніндегі тиісті нормативтік актілерде көзделген шығыстар деңгейіне сәйкестігі;</w:t>
      </w:r>
      <w:r>
        <w:br/>
      </w:r>
      <w:r>
        <w:rPr>
          <w:rFonts w:ascii="Times New Roman"/>
          <w:b w:val="false"/>
          <w:i w:val="false"/>
          <w:color w:val="000000"/>
          <w:sz w:val="28"/>
        </w:rPr>
        <w:t>
</w:t>
      </w:r>
      <w:r>
        <w:rPr>
          <w:rFonts w:ascii="Times New Roman"/>
          <w:b w:val="false"/>
          <w:i w:val="false"/>
          <w:color w:val="000000"/>
          <w:sz w:val="28"/>
        </w:rPr>
        <w:t>
      8) практикадан өткізу базалары ретінде белгіленген ұйымдармен жасалған шарттардың болуы;</w:t>
      </w:r>
      <w:r>
        <w:br/>
      </w:r>
      <w:r>
        <w:rPr>
          <w:rFonts w:ascii="Times New Roman"/>
          <w:b w:val="false"/>
          <w:i w:val="false"/>
          <w:color w:val="000000"/>
          <w:sz w:val="28"/>
        </w:rPr>
        <w:t>
</w:t>
      </w:r>
      <w:r>
        <w:rPr>
          <w:rFonts w:ascii="Times New Roman"/>
          <w:b w:val="false"/>
          <w:i w:val="false"/>
          <w:color w:val="000000"/>
          <w:sz w:val="28"/>
        </w:rPr>
        <w:t>
      9)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10)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11)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r>
        <w:br/>
      </w:r>
      <w:r>
        <w:rPr>
          <w:rFonts w:ascii="Times New Roman"/>
          <w:b w:val="false"/>
          <w:i w:val="false"/>
          <w:color w:val="000000"/>
          <w:sz w:val="28"/>
        </w:rPr>
        <w:t>
</w:t>
      </w:r>
      <w:r>
        <w:rPr>
          <w:rFonts w:ascii="Times New Roman"/>
          <w:b w:val="false"/>
          <w:i w:val="false"/>
          <w:color w:val="000000"/>
          <w:sz w:val="28"/>
        </w:rPr>
        <w:t>
      11. Философия докторы (PhD) және бейіні бойынша доктор дәрежесін бере отырып, докторантура бағдарламалары бойынша біліктілігі жоғары ғылыми және ғылыми-педагогикалық кадрларды даярлау жөніндегі білім беру ұйымдарының және ғылыми ұйымдардың қызметіне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бакалавриаттың және магистратураның кәсіптік оқу бағдарламаларын іске асыру;</w:t>
      </w:r>
      <w:r>
        <w:br/>
      </w:r>
      <w:r>
        <w:rPr>
          <w:rFonts w:ascii="Times New Roman"/>
          <w:b w:val="false"/>
          <w:i w:val="false"/>
          <w:color w:val="000000"/>
          <w:sz w:val="28"/>
        </w:rPr>
        <w:t>
</w:t>
      </w:r>
      <w:r>
        <w:rPr>
          <w:rFonts w:ascii="Times New Roman"/>
          <w:b w:val="false"/>
          <w:i w:val="false"/>
          <w:color w:val="000000"/>
          <w:sz w:val="28"/>
        </w:rPr>
        <w:t>
      2) ғылыми дәрежелері мен атақтары бар оқытушылар үлесінің штаттағы оқытушылар санының 100 %-нан кем болмауы;</w:t>
      </w:r>
      <w:r>
        <w:br/>
      </w:r>
      <w:r>
        <w:rPr>
          <w:rFonts w:ascii="Times New Roman"/>
          <w:b w:val="false"/>
          <w:i w:val="false"/>
          <w:color w:val="000000"/>
          <w:sz w:val="28"/>
        </w:rPr>
        <w:t>
</w:t>
      </w:r>
      <w:r>
        <w:rPr>
          <w:rFonts w:ascii="Times New Roman"/>
          <w:b w:val="false"/>
          <w:i w:val="false"/>
          <w:color w:val="000000"/>
          <w:sz w:val="28"/>
        </w:rPr>
        <w:t>
      3) даярлаудың тиісті мамандығы бойынша философия докторы (PhD) және бейіні бойынша доктор дәрежелері бар шетелдік ғалымдардың болуы;</w:t>
      </w:r>
      <w:r>
        <w:br/>
      </w:r>
      <w:r>
        <w:rPr>
          <w:rFonts w:ascii="Times New Roman"/>
          <w:b w:val="false"/>
          <w:i w:val="false"/>
          <w:color w:val="000000"/>
          <w:sz w:val="28"/>
        </w:rPr>
        <w:t>
</w:t>
      </w:r>
      <w:r>
        <w:rPr>
          <w:rFonts w:ascii="Times New Roman"/>
          <w:b w:val="false"/>
          <w:i w:val="false"/>
          <w:color w:val="000000"/>
          <w:sz w:val="28"/>
        </w:rPr>
        <w:t>
      4) даярлаудың тиісті мамандығы бойынша шетелдік ғалымдармен келісімдердің болуы;</w:t>
      </w:r>
      <w:r>
        <w:br/>
      </w:r>
      <w:r>
        <w:rPr>
          <w:rFonts w:ascii="Times New Roman"/>
          <w:b w:val="false"/>
          <w:i w:val="false"/>
          <w:color w:val="000000"/>
          <w:sz w:val="28"/>
        </w:rPr>
        <w:t>
</w:t>
      </w:r>
      <w:r>
        <w:rPr>
          <w:rFonts w:ascii="Times New Roman"/>
          <w:b w:val="false"/>
          <w:i w:val="false"/>
          <w:color w:val="000000"/>
          <w:sz w:val="28"/>
        </w:rPr>
        <w:t>
      5) ұйымдармен және кәсіпорындармен ғылыми зерттеу және тәжірибелік-конструкторлық жұмыстар жүргізуге шарттардың болуы;</w:t>
      </w:r>
      <w:r>
        <w:br/>
      </w:r>
      <w:r>
        <w:rPr>
          <w:rFonts w:ascii="Times New Roman"/>
          <w:b w:val="false"/>
          <w:i w:val="false"/>
          <w:color w:val="000000"/>
          <w:sz w:val="28"/>
        </w:rPr>
        <w:t>
</w:t>
      </w:r>
      <w:r>
        <w:rPr>
          <w:rFonts w:ascii="Times New Roman"/>
          <w:b w:val="false"/>
          <w:i w:val="false"/>
          <w:color w:val="000000"/>
          <w:sz w:val="28"/>
        </w:rPr>
        <w:t>
      6) жұмыс оқу жоспарларының үлгілік оқу жоспарларына сәйкестігі;</w:t>
      </w:r>
      <w:r>
        <w:br/>
      </w:r>
      <w:r>
        <w:rPr>
          <w:rFonts w:ascii="Times New Roman"/>
          <w:b w:val="false"/>
          <w:i w:val="false"/>
          <w:color w:val="000000"/>
          <w:sz w:val="28"/>
        </w:rPr>
        <w:t>
</w:t>
      </w:r>
      <w:r>
        <w:rPr>
          <w:rFonts w:ascii="Times New Roman"/>
          <w:b w:val="false"/>
          <w:i w:val="false"/>
          <w:color w:val="000000"/>
          <w:sz w:val="28"/>
        </w:rPr>
        <w:t>
      7) докторантура бағдарламаларын іске асыратын аккредиттелген шетелдік жоғары оқу орындарымен және (немесе) ғылыми ұйымдармен ғылыми алмасу туралы шарттардың болуы;</w:t>
      </w:r>
      <w:r>
        <w:br/>
      </w:r>
      <w:r>
        <w:rPr>
          <w:rFonts w:ascii="Times New Roman"/>
          <w:b w:val="false"/>
          <w:i w:val="false"/>
          <w:color w:val="000000"/>
          <w:sz w:val="28"/>
        </w:rPr>
        <w:t>
</w:t>
      </w:r>
      <w:r>
        <w:rPr>
          <w:rFonts w:ascii="Times New Roman"/>
          <w:b w:val="false"/>
          <w:i w:val="false"/>
          <w:color w:val="000000"/>
          <w:sz w:val="28"/>
        </w:rPr>
        <w:t>
      8) тиісті ғылыми даярлық мамандықтары бойынша мамандандырылған ғылыми-техникалық, ғылыми-әдістемелік, клиникалық, эксперименттік және материалдық-техникалық базаның болуы;</w:t>
      </w:r>
      <w:r>
        <w:br/>
      </w:r>
      <w:r>
        <w:rPr>
          <w:rFonts w:ascii="Times New Roman"/>
          <w:b w:val="false"/>
          <w:i w:val="false"/>
          <w:color w:val="000000"/>
          <w:sz w:val="28"/>
        </w:rPr>
        <w:t>
</w:t>
      </w:r>
      <w:r>
        <w:rPr>
          <w:rFonts w:ascii="Times New Roman"/>
          <w:b w:val="false"/>
          <w:i w:val="false"/>
          <w:color w:val="000000"/>
          <w:sz w:val="28"/>
        </w:rPr>
        <w:t>
      9) докторантура мамандығы бойынша білім беру бағдарламаларын іске асыру үшін қажетті ақпараттық желіге кіре алатын компьютерлік сыныптармен, тиісті мамандық бойынша электрондық дерекқоры бар кітапханалық қормен жарақтандырылуы, ғылыми зертханалардың және мультимедиялық оқу материалдардың болуы;</w:t>
      </w:r>
      <w:r>
        <w:br/>
      </w:r>
      <w:r>
        <w:rPr>
          <w:rFonts w:ascii="Times New Roman"/>
          <w:b w:val="false"/>
          <w:i w:val="false"/>
          <w:color w:val="000000"/>
          <w:sz w:val="28"/>
        </w:rPr>
        <w:t>
</w:t>
      </w:r>
      <w:r>
        <w:rPr>
          <w:rFonts w:ascii="Times New Roman"/>
          <w:b w:val="false"/>
          <w:i w:val="false"/>
          <w:color w:val="000000"/>
          <w:sz w:val="28"/>
        </w:rPr>
        <w:t>
      10) практикадан өткізу базалары ретінде белгіленген ұйымдармен, оның ішінде шетелдік ғылыми тағылымдамадан өтуге жасалған шарттардың болуы;</w:t>
      </w:r>
      <w:r>
        <w:br/>
      </w:r>
      <w:r>
        <w:rPr>
          <w:rFonts w:ascii="Times New Roman"/>
          <w:b w:val="false"/>
          <w:i w:val="false"/>
          <w:color w:val="000000"/>
          <w:sz w:val="28"/>
        </w:rPr>
        <w:t>
</w:t>
      </w:r>
      <w:r>
        <w:rPr>
          <w:rFonts w:ascii="Times New Roman"/>
          <w:b w:val="false"/>
          <w:i w:val="false"/>
          <w:color w:val="000000"/>
          <w:sz w:val="28"/>
        </w:rPr>
        <w:t>
      11) білім алушыларға медициналық қызмет көрсетудің болуы;</w:t>
      </w:r>
      <w:r>
        <w:br/>
      </w:r>
      <w:r>
        <w:rPr>
          <w:rFonts w:ascii="Times New Roman"/>
          <w:b w:val="false"/>
          <w:i w:val="false"/>
          <w:color w:val="000000"/>
          <w:sz w:val="28"/>
        </w:rPr>
        <w:t>
</w:t>
      </w:r>
      <w:r>
        <w:rPr>
          <w:rFonts w:ascii="Times New Roman"/>
          <w:b w:val="false"/>
          <w:i w:val="false"/>
          <w:color w:val="000000"/>
          <w:sz w:val="28"/>
        </w:rPr>
        <w:t>
      12) білім алушыларға арналған тамақтандыру объектісінің болуы;</w:t>
      </w:r>
      <w:r>
        <w:br/>
      </w:r>
      <w:r>
        <w:rPr>
          <w:rFonts w:ascii="Times New Roman"/>
          <w:b w:val="false"/>
          <w:i w:val="false"/>
          <w:color w:val="000000"/>
          <w:sz w:val="28"/>
        </w:rPr>
        <w:t>
</w:t>
      </w:r>
      <w:r>
        <w:rPr>
          <w:rFonts w:ascii="Times New Roman"/>
          <w:b w:val="false"/>
          <w:i w:val="false"/>
          <w:color w:val="000000"/>
          <w:sz w:val="28"/>
        </w:rPr>
        <w:t>
      13) меншікті не шаруашылық жүргізу немесе жедел басқару құқығында тиесілі білім беру қызметінің сапасын қамтамасыз ететін материалдық және материалдық емес активтердің болуы.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