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5ec4" w14:textId="11d5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6 қарашадағы № 1405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«ұжымдық негізде мүліктік құқықтарды басқаратын ұйымдар мен пайдаланушылардың арасындағы туындыларды және сабақтас құқықтар объектілерін пайдаланудың тиісті тәсілдеріне жасалған лицензиялық шарттарды тіркеу, мемлекеттік тіркеу куәліктерін беру» деген бір жүз қырық төртінші абзацы алынып тасталсын;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күші жойылды - ҚР Үкіметінің 28.01.2014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1-тармаққа өзгеріс енгізілді - ҚР Үкіметінің 28.01.2014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