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3014" w14:textId="9373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15 қарашадағы № 1448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қорының қаражатын қалыптастыру</w:t>
      </w:r>
      <w:r>
        <w:br/>
      </w:r>
      <w:r>
        <w:rPr>
          <w:rFonts w:ascii="Times New Roman"/>
          <w:b/>
          <w:i w:val="false"/>
          <w:color w:val="000000"/>
        </w:rPr>
        <w:t>
және пайдалану тұжырымдамасы туралы» Қазақстан Республикасы</w:t>
      </w:r>
      <w:r>
        <w:br/>
      </w:r>
      <w:r>
        <w:rPr>
          <w:rFonts w:ascii="Times New Roman"/>
          <w:b/>
          <w:i w:val="false"/>
          <w:color w:val="000000"/>
        </w:rPr>
        <w:t>
Президентінің 2010 жылғы 2 сәуірдегі № 962 Жарлығына өзгеріс</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27, 203-құжат) мынадай өзгеріс енгізілсін:</w:t>
      </w:r>
      <w:r>
        <w:br/>
      </w:r>
      <w:r>
        <w:rPr>
          <w:rFonts w:ascii="Times New Roman"/>
          <w:b w:val="false"/>
          <w:i w:val="false"/>
          <w:color w:val="000000"/>
          <w:sz w:val="28"/>
        </w:rPr>
        <w:t>
      жоғарыда аталған Жарлықпен мақұлданған Қазақстан Республикасы Ұлттық қорының қаражатын қалыптастыру және пайдалану </w:t>
      </w:r>
      <w:r>
        <w:rPr>
          <w:rFonts w:ascii="Times New Roman"/>
          <w:b w:val="false"/>
          <w:i w:val="false"/>
          <w:color w:val="000000"/>
          <w:sz w:val="28"/>
        </w:rPr>
        <w:t>тұжырымдамасында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5-бөлімнің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«Ұлттық қордың активтерiн орналастыру шетелдiк қаржы нарықтарында айналымдағы және Ұлттық қорды басқару жөнiндегi кеңестiң ұсынысы бойынша Қазақстан Республикасының Үкiметi бекiткен материалдық емес активтердi қоспағанда, рұқсат етiлген қаржы құралдарының тiзбесiне қосылған қаржы құралдарына жүзеге асырылуы тиiс. Бұл ретте шектеулер 2013 жылғы 1 қаңтарға дейін Ұлттық қорды басқару жөніндегі кеңестің шешімімен қабылданған, Ұлттық қор активтерінің құрылымында ескерілетін қазақстандық қаржы құралдарына қолданылмайды.».</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