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6af9" w14:textId="3de6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салдардың және өзге де жүзу объектiлерiнiң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қағидасын бекіту туралы" Қазақстан Республикасы Үкiметiнiң 2011 жылғы 2 шілдедегі № 765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1500 Қаулысы. Күші жойылды - Қазақстан Республикасы Үкіметінің 2015 жылғы 10 тамыздағы № 623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«Кемелердің, салдардың және өзге де жүзу объектiлерiнiң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қағидасын бекіту туралы» Қазақстан Республикасы Үкiметiнiң 2011 жылғы 2 шілдедегі № 765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45, 609-құжат)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Кемелердің, салдардың және өзге де жүзу объектiлерiнiң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