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0877" w14:textId="96b08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орман қорының аумағында орман орналастыруды жүргізу ережесін бекiту туралы" Қазақстан Республикасы Үкіметінің 2004 жылғы 16 қаңтардағы № 45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4 желтоқсандағы № 1536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«Мемлекеттiк орман қорының аумағында орман орналастыруды жүргізу ережесін бекiту туралы» Қазақстан Республикасы Үкіметінің 2004 жылғы 16 қаңтардағы № 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 22-құжат) мынадай өзгерістер енгізілсін: </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орман қоры аумағында орман орналастыруды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Орман ресурстарын есепке алумен, орман қорын аумақтық орналастырумен, оның ішінде мемлекеттік орман қорының шекараларын белгілеумен, ормандарды мемлекеттік мониторингілеумен, орман шаруашылығын жүргізуді жоспарлаумен және орман пайдаланумен байланысты орман орналастыру мемлекеттік монополияға жатады және оны мемлекеттік орман орналастыру ұйымы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Мемлекеттік орман қоры аумағында орман орналастыру орман шаруашылығы саласындағы уәкілетті орган (бұдан әрi – уәкілеттi орган) белгілеген тәртiппен бiрыңғай жүйе бойынша орындалады.».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Премьер-Министрі                            С. Ахметов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