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6c37" w14:textId="1026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қайта ресімдеу, лицензияның телнұсқасын беру" мемлекеттік қызмет стандартын бекіту туралы" Қазақстан Республикасы Үкіметінің 2012 жылғы 8 маусымдағы № 764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наурыздағы № 287 қаулысы. Күші жойылды - Қазақстан Республикасы Үкіметінің 2014 жылғы 10 ақпандағы № 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10.02.2014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«Күзет қызметімен айналысу құқығына лицензия беру, қайта ресімдеу, лицензияның телнұсқасын беру» мемлекеттік қызмет стандартын бекіту туралы» Қазақстан Республикасы Үкіметінің 2012 жылғы 8 маусымдағы № 764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55, 759-құжат)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«Күзет қызметімен айналысу құқығына лицензия беру, қайта ресімдеу, лицензияның телнұсқасын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«жарғының көшірмесін және алушыны заңды тұлға ретінде мемлекеттік тіркеу туралы анықтаманы не куәліктің көшірмесін (салыстыру үшін түпнұсқалар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жарғының көшірмесін және заңды тұлғаны мемлекеттік тіркеу туралы анықтаманы не куәліктің, салық органында есепке қою туралы куәліктің көшірмелерін, бюджетке лицензиялық алымның төленгенін растайтын құжатты уәкілетті орган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анықтама не куәліктің көшірмесі;»;</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жарғының көшірмесін және заңды тұлғаны мемлекеттік тіркеу туралы анықтаманы не куәліктің, салық органында есепке қою туралы куәліктің көшірмелерін, бюджетке лицензиялық алымның төленгенін растайтын құжатты уәкілетті орган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