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aae4" w14:textId="fdea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қызметтер стандарттарын бекіту туралы" Қазақстан Республикасы Үкіметінің 2012 жылғы 12 қазандағы № 1294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сәуірдегі № 433 қаулысы. Күші жойылды - Қазақстан Республикасы Үкіметінің 2014 жылғы 20 наурыздағы № 253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«Денсаулық сақтау саласындағы мемлекеттік қызметтер стандарттарын бекіту туралы» Қазақстан Республикасы Үкіметінің 2012 жылғы 12 қазандағы № 1294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1080-құжат)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«Дәрігерді үйге шақыру»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осы уәкілетті ұйымға тіркеуінің болуын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«Дәрігердің қабылдауына жазылу»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осы уәкілетті ұйымға тіркеуінің болуын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«Медициналық-санитариялық алғашқы көмек көрсететін медициналық ұйымға тіркеу»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тұтынушының электрондық цифрлық қолтаңбасының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мемлекеттік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