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e47a" w14:textId="963e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w:t>
      </w:r>
    </w:p>
    <w:p>
      <w:pPr>
        <w:spacing w:after="0"/>
        <w:ind w:left="0"/>
        <w:jc w:val="both"/>
      </w:pPr>
      <w:r>
        <w:rPr>
          <w:rFonts w:ascii="Times New Roman"/>
          <w:b w:val="false"/>
          <w:i w:val="false"/>
          <w:color w:val="000000"/>
          <w:sz w:val="28"/>
        </w:rPr>
        <w:t>Қазақстан Республикасы Үкіметінің 2013 жылғы 8 мамырдағы № 464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 Заңының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Жамбыл облысы, Тараз қаласы, Төле би даңғылы, № 69 үй мекенжайы бойынша орналасқан ғимарат «М.Х. Дулати атындағы Тараз мемлекеттік университеті» шаруашылық жүргізу құқығындағы республикалық мемлекеттік кәсіпорнының теңгерімінен заңнамада белгіленген тәртіппен «Өрлеу» біліктілікті арттыру ұлттық орталығы» акционерлік қоғамының орналастырылатын акцияларын төлеуге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 заңнамада белгіленген тәртіппен осы қаулыны іске асыру үшін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