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83c4" w14:textId="11f8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министрлiгiнiң кейбiр мәселелерi" туралы Қазақстан Республикасы Үкiметiнiң 2004 жылғы 26 қарашадағы № 1237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шілдедегі № 661 қаулысы. Күші жойылды - Қазақстан Республикасы Үкіметінің 2014 жылғы 19 қыркүйектегі № 995 қаулысымен</w:t>
      </w:r>
    </w:p>
    <w:p>
      <w:pPr>
        <w:spacing w:after="0"/>
        <w:ind w:left="0"/>
        <w:jc w:val="both"/>
      </w:pPr>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министрлiгiнiң кейбiр мәселелерi» туралы Қазақстан Республикасы Үкiметiнiң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47, 586-құжат) мынадай өзгерiс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Индустрия және жаңа технологиялар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88)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аумақтық сауда-өнеркәсіп палаталарының қызметін тауардың шығу тегі туралы сертификатты беру тәртібінің сақталуына және iшкi айналымға арналған тауардың шығу тегi туралы сертификатты беру тәртiбiнiң сақталуына уәкiлеттi органның (ұйымның) қызметiне жыл сайын тексеру жүргізу, кеден одағы тауарының және (немесе) шетелдік тауардың мәртебесін айқындау арқылы бақылауды жүзеге асырады;».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