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fdbc" w14:textId="fc7f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сулар алып жатқан жер учаскелерін жасанды ғимараттар салу үшін беру қағидаларын бекіту туралы" Қазақстан Республикасы Үкіметінің 2011 жылғы 1 желтоқсандағы № 1419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тамыздағы № 769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«Аумақтық сулар алып жатқан жер учаскелерін жасанды ғимараттар салу үшін беру қағидаларын бекіту туралы» Қазақстан Республикасы Үкіметінің 2011 жылғы 1 желтоқсандағы № 1419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 87-құжат)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Аумақтық сулар алып жатқан жер учаскелерін жасанды ғимараттар салу үшін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Жасанды ғимараттарды салу үшін жер учаскелерін беруді Қазақстан Республикасы Қоршаған ортаны қорғау министрлігі Су ресурстары комитетінің су ресурстарын пайдалануды реттеу және қорғау жөніндегі тиісті бассейндік инспекциясымен келісім бойынша Атырау және Маңғыстау облыстарының жергілікті атқарушы органдары жүзеге асырады. Каспий теңізіндегі Қазақстан Республикасының аумақтық және ішкі сулар шегіндегі облыстардың шекаралары облыстардың Каспий теңізі жағалауы құрлығындағы әкімшілік шекараларының түйіскен нүктесін ескере отырып, солтүстік ендіктің 46 градус сызығына параллель сызық ретінде анықталады.»;</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Жер учаскесіне сәйкестендіру құжатын әзірлеу және беру Қазақстан Республикасы Үкіметінің 2012 жылғы 1 қарашадағы № 1392 қаулысымен бекітілген «Уақытша өтеулі (ұзақ мерзімді, қысқа мерзімді) жер пайдалану (жалдау) құқығына актілер ресімдеу және беру»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кезден бастап алты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күнтiзбелiк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