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652f" w14:textId="f7f6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 есептеу әдістемесін бекіту туралы" Қазақстан Республикасы Үкіметінің 2010 жылғы 2 ақпандағы № 54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тамыздағы N 886 қаулысы. Күші жойылды - Қазақстан Республикасы Үкіметінің 2015 жылғы 10 наурыздағы № 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«Жалпы сипаттағы трансферттерді есептеу әдістемесін бекіту туралы» Қазақстан Республикасы Үкіметінің 2010 жылғы 2 ақпандағы № 54 </w:t>
      </w:r>
      <w:r>
        <w:rPr>
          <w:rFonts w:ascii="Times New Roman"/>
          <w:b w:val="false"/>
          <w:i w:val="false"/>
          <w:color w:val="000000"/>
          <w:sz w:val="28"/>
        </w:rPr>
        <w:t>қаулысына</w:t>
      </w:r>
      <w:r>
        <w:rPr>
          <w:rFonts w:ascii="Times New Roman"/>
          <w:b w:val="false"/>
          <w:i w:val="false"/>
          <w:color w:val="000000"/>
          <w:sz w:val="28"/>
        </w:rPr>
        <w:t> </w:t>
      </w:r>
      <w:r>
        <w:rPr>
          <w:rFonts w:ascii="Times New Roman"/>
          <w:b w:val="false"/>
          <w:i w:val="false"/>
          <w:color w:val="000000"/>
          <w:sz w:val="28"/>
        </w:rPr>
        <w:t>(Қазақстан Республикасының ПҮАЖ-ы, 2010 ж., № 8, 104-құжат)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Жалпы сипаттағы трансферттерді есептеу </w:t>
      </w:r>
      <w:r>
        <w:rPr>
          <w:rFonts w:ascii="Times New Roman"/>
          <w:b w:val="false"/>
          <w:i w:val="false"/>
          <w:color w:val="000000"/>
          <w:sz w:val="28"/>
        </w:rPr>
        <w:t>әдістемесінде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бюджет комиссияның шешімімен өңірлер бойынша абсолюттік сомалармен ағымдағы нысаналы трансферттер есебінен бұрын қаржыландырылған тұрақты сипаттағы шығындар.»;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 і-облыстың (республикалық маңызы бар қаланың, астананың) ағымдағы есептік шығындарына республикалық бюджеттен қаржыландырылатын стационарлық, стационарды алмастыратын және амбулаториялық-емханалық медициналық көмек көрсетуге арналған шығындар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Бюджеттік даму бағдарламалары бойынша шығындарды қаржыландыру үшін көзделетін қаражаттың жалпы болжамды көлемі екі бөліктен тұрады:</w:t>
      </w:r>
      <w:r>
        <w:br/>
      </w:r>
      <w:r>
        <w:rPr>
          <w:rFonts w:ascii="Times New Roman"/>
          <w:b w:val="false"/>
          <w:i w:val="false"/>
          <w:color w:val="000000"/>
          <w:sz w:val="28"/>
        </w:rPr>
        <w:t>
</w:t>
      </w:r>
      <w:r>
        <w:rPr>
          <w:rFonts w:ascii="Times New Roman"/>
          <w:b w:val="false"/>
          <w:i w:val="false"/>
          <w:color w:val="000000"/>
          <w:sz w:val="28"/>
        </w:rPr>
        <w:t>
      1) бірінші бөлік жалпы өңірлік өнім мен халық санының өсімін ескере отырып ағымдағы шығындардың облыстың (республикалық маңызы бар қаланың, астананың) болжамды көлеміне пайыздық қатынаста айқындалады;</w:t>
      </w:r>
      <w:r>
        <w:br/>
      </w:r>
      <w:r>
        <w:rPr>
          <w:rFonts w:ascii="Times New Roman"/>
          <w:b w:val="false"/>
          <w:i w:val="false"/>
          <w:color w:val="000000"/>
          <w:sz w:val="28"/>
        </w:rPr>
        <w:t>
</w:t>
      </w:r>
      <w:r>
        <w:rPr>
          <w:rFonts w:ascii="Times New Roman"/>
          <w:b w:val="false"/>
          <w:i w:val="false"/>
          <w:color w:val="000000"/>
          <w:sz w:val="28"/>
        </w:rPr>
        <w:t>
      2) екінші бөлік Республикалық бюджет комиссиясының шешімімен айқындалатын дамытуға арналған шығындардың қосымша көлемінен (бұдан әрі – «пул») пайыздық қатынаста айқындалады.</w:t>
      </w:r>
      <w:r>
        <w:br/>
      </w:r>
      <w:r>
        <w:rPr>
          <w:rFonts w:ascii="Times New Roman"/>
          <w:b w:val="false"/>
          <w:i w:val="false"/>
          <w:color w:val="000000"/>
          <w:sz w:val="28"/>
        </w:rPr>
        <w:t>
</w:t>
      </w:r>
      <w:r>
        <w:rPr>
          <w:rFonts w:ascii="Times New Roman"/>
          <w:b w:val="false"/>
          <w:i w:val="false"/>
          <w:color w:val="000000"/>
          <w:sz w:val="28"/>
        </w:rPr>
        <w:t>
      Екінші бөлік өңірлердің әлеуметтік-экономикалық дамуының мәселелерін шешуде әкімдердің экономикалық ынталарын күшейту үшін қызмет етеді.</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көлемінің есебі әрбір облыс (республикалық маңызы бар қала, астана) немесе аудан (облыстық маңызы бар қала) бойынша жеке мынадай формула бойынша жүргізіледі:</w:t>
      </w:r>
    </w:p>
    <w:bookmarkEnd w:id="1"/>
    <w:bookmarkStart w:name="z14" w:id="2"/>
    <w:p>
      <w:pPr>
        <w:spacing w:after="0"/>
        <w:ind w:left="0"/>
        <w:jc w:val="both"/>
      </w:pPr>
      <w:r>
        <w:rPr>
          <w:rFonts w:ascii="Times New Roman"/>
          <w:b w:val="false"/>
          <w:i w:val="false"/>
          <w:color w:val="000000"/>
          <w:sz w:val="28"/>
        </w:rPr>
        <w:t>      </w:t>
      </w:r>
      <w:r>
        <w:drawing>
          <wp:inline distT="0" distB="0" distL="0" distR="0">
            <wp:extent cx="417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78300" cy="673100"/>
                    </a:xfrm>
                    <a:prstGeom prst="rect">
                      <a:avLst/>
                    </a:prstGeom>
                  </pic:spPr>
                </pic:pic>
              </a:graphicData>
            </a:graphic>
          </wp:inline>
        </w:drawing>
      </w:r>
      <w:r>
        <w:br/>
      </w:r>
      <w:r>
        <w:rPr>
          <w:rFonts w:ascii="Times New Roman"/>
          <w:b w:val="false"/>
          <w:i w:val="false"/>
          <w:color w:val="000000"/>
          <w:sz w:val="28"/>
        </w:rPr>
        <w:t>
      мұндағы БДБШ</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бюджеттік даму бағдарламалары бойынша есептік шығындар;</w:t>
      </w:r>
      <w:r>
        <w:br/>
      </w:r>
      <w:r>
        <w:rPr>
          <w:rFonts w:ascii="Times New Roman"/>
          <w:b w:val="false"/>
          <w:i w:val="false"/>
          <w:color w:val="000000"/>
          <w:sz w:val="28"/>
        </w:rPr>
        <w:t>
</w:t>
      </w:r>
      <w:r>
        <w:rPr>
          <w:rFonts w:ascii="Times New Roman"/>
          <w:b w:val="false"/>
          <w:i w:val="false"/>
          <w:color w:val="000000"/>
          <w:sz w:val="28"/>
        </w:rPr>
        <w:t>
      ЕШ</w:t>
      </w:r>
      <w:r>
        <w:rPr>
          <w:rFonts w:ascii="Times New Roman"/>
          <w:b w:val="false"/>
          <w:i w:val="false"/>
          <w:color w:val="000000"/>
          <w:vertAlign w:val="superscript"/>
        </w:rPr>
        <w:t>i</w:t>
      </w:r>
      <w:r>
        <w:rPr>
          <w:rFonts w:ascii="Times New Roman"/>
          <w:b w:val="false"/>
          <w:i w:val="false"/>
          <w:color w:val="000000"/>
          <w:sz w:val="28"/>
        </w:rPr>
        <w:t xml:space="preserve"> – облыстың (республикалық маңызы бар қаланың, астананың) ағымдағы есептік шығындары;</w:t>
      </w:r>
      <w:r>
        <w:br/>
      </w:r>
      <w:r>
        <w:rPr>
          <w:rFonts w:ascii="Times New Roman"/>
          <w:b w:val="false"/>
          <w:i w:val="false"/>
          <w:color w:val="000000"/>
          <w:sz w:val="28"/>
        </w:rPr>
        <w:t>
</w:t>
      </w:r>
      <w:r>
        <w:rPr>
          <w:rFonts w:ascii="Times New Roman"/>
          <w:b w:val="false"/>
          <w:i w:val="false"/>
          <w:color w:val="000000"/>
          <w:sz w:val="28"/>
        </w:rPr>
        <w:t>
      ЕШ – барлық облыстардың (республикалық маңызы бар қаланың, астананың) жалпы ағымдағы есептік шығындары;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Х</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халқы саны өсімінің болжамы; халық саны өсімінің кері болжамы болған жағдайда 0-ге тең қолданылады;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Х – облыстар (республикалық маңызы бар қала, астана) халқы санының өсу болжамдарының оң мәнінің сомасы;</w:t>
      </w:r>
      <w:r>
        <w:br/>
      </w:r>
      <w:r>
        <w:rPr>
          <w:rFonts w:ascii="Times New Roman"/>
          <w:b w:val="false"/>
          <w:i w:val="false"/>
          <w:color w:val="000000"/>
          <w:sz w:val="28"/>
        </w:rPr>
        <w:t>
</w:t>
      </w:r>
      <w:r>
        <w:rPr>
          <w:rFonts w:ascii="Times New Roman"/>
          <w:b w:val="false"/>
          <w:i w:val="false"/>
          <w:color w:val="000000"/>
          <w:sz w:val="28"/>
        </w:rPr>
        <w:t>
      ӨӨБ</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жалпы өңірлік өнімінің болжамы;</w:t>
      </w:r>
      <w:r>
        <w:br/>
      </w:r>
      <w:r>
        <w:rPr>
          <w:rFonts w:ascii="Times New Roman"/>
          <w:b w:val="false"/>
          <w:i w:val="false"/>
          <w:color w:val="000000"/>
          <w:sz w:val="28"/>
        </w:rPr>
        <w:t>
</w:t>
      </w:r>
      <w:r>
        <w:rPr>
          <w:rFonts w:ascii="Times New Roman"/>
          <w:b w:val="false"/>
          <w:i w:val="false"/>
          <w:color w:val="000000"/>
          <w:sz w:val="28"/>
        </w:rPr>
        <w:t>
      ӨӨБ – облыстардың (республикалық маңызы бар қаланың, астананың) жалпы өңірлік өнімі болжамының сомасы;</w:t>
      </w:r>
      <w:r>
        <w:br/>
      </w:r>
      <w:r>
        <w:rPr>
          <w:rFonts w:ascii="Times New Roman"/>
          <w:b w:val="false"/>
          <w:i w:val="false"/>
          <w:color w:val="000000"/>
          <w:sz w:val="28"/>
        </w:rPr>
        <w:t>
</w:t>
      </w:r>
      <w:r>
        <w:rPr>
          <w:rFonts w:ascii="Times New Roman"/>
          <w:b w:val="false"/>
          <w:i w:val="false"/>
          <w:color w:val="000000"/>
          <w:sz w:val="28"/>
        </w:rPr>
        <w:t>
      ҚШК</w:t>
      </w:r>
      <w:r>
        <w:rPr>
          <w:rFonts w:ascii="Times New Roman"/>
          <w:b w:val="false"/>
          <w:i w:val="false"/>
          <w:color w:val="000000"/>
          <w:vertAlign w:val="superscript"/>
        </w:rPr>
        <w:t xml:space="preserve">i </w:t>
      </w:r>
      <w:r>
        <w:rPr>
          <w:rFonts w:ascii="Times New Roman"/>
          <w:b w:val="false"/>
          <w:i w:val="false"/>
          <w:color w:val="000000"/>
          <w:sz w:val="28"/>
        </w:rPr>
        <w:t>– і-облыстардың (республикалық маңызы бар қаланың, астананың) дамытуға мынадай формула бойынша айқындалатын қосымша шығындар көлемі:</w:t>
      </w:r>
    </w:p>
    <w:bookmarkEnd w:id="2"/>
    <w:bookmarkStart w:name="z22" w:id="3"/>
    <w:p>
      <w:pPr>
        <w:spacing w:after="0"/>
        <w:ind w:left="0"/>
        <w:jc w:val="both"/>
      </w:pPr>
      <w:r>
        <w:rPr>
          <w:rFonts w:ascii="Times New Roman"/>
          <w:b w:val="false"/>
          <w:i w:val="false"/>
          <w:color w:val="000000"/>
          <w:sz w:val="28"/>
        </w:rPr>
        <w:t>      </w:t>
      </w:r>
      <w:r>
        <w:drawing>
          <wp:inline distT="0" distB="0" distL="0" distR="0">
            <wp:extent cx="259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90800" cy="317500"/>
                    </a:xfrm>
                    <a:prstGeom prst="rect">
                      <a:avLst/>
                    </a:prstGeom>
                  </pic:spPr>
                </pic:pic>
              </a:graphicData>
            </a:graphic>
          </wp:inline>
        </w:drawing>
      </w:r>
      <w:r>
        <w:br/>
      </w:r>
      <w:r>
        <w:rPr>
          <w:rFonts w:ascii="Times New Roman"/>
          <w:b w:val="false"/>
          <w:i w:val="false"/>
          <w:color w:val="000000"/>
          <w:sz w:val="28"/>
        </w:rPr>
        <w:t>
      П – көлемі Республикалық бюджет комиссиясының шешімімен айқындалатын барлық облыстардың (республикалық маңызы бар қаланың, астананың) дамытуға арналған қосымша шығындар «пулы»;</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perscript"/>
        </w:rPr>
        <w:t>i</w:t>
      </w:r>
      <w:r>
        <w:rPr>
          <w:rFonts w:ascii="Times New Roman"/>
          <w:b w:val="false"/>
          <w:i w:val="false"/>
          <w:color w:val="000000"/>
          <w:sz w:val="28"/>
        </w:rPr>
        <w:t xml:space="preserve"> – ортамерзімдік кезеңге жалпы сипаттағы трансферттердің көлемін белгілейтін заң жобасын әзірлеудің алдыңғы жылдың алдындағы үш жылдың салықтық кірістерінің өсуі және тұрақты жұмыс орындарын құру бойынша облыстардың (республикалық маңызы бар қаланың, астананың) әкімдері жұмысының рейтингтік бағалауын негізге ала отырып бюджеттік даму бағдарламалары бойынша шығындарды ұлғайтуға әсер ететін коэффициенті.</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perscript"/>
        </w:rPr>
        <w:t>i</w:t>
      </w:r>
      <w:r>
        <w:rPr>
          <w:rFonts w:ascii="Times New Roman"/>
          <w:b w:val="false"/>
          <w:i w:val="false"/>
          <w:color w:val="000000"/>
          <w:sz w:val="28"/>
        </w:rPr>
        <w:t xml:space="preserve"> коэффициентінің шамасы салық және тұрақты жұмыс орындарын құру бойынша рейтингтегі өңірдің орнына байланысты белгіленеді:</w:t>
      </w:r>
      <w:r>
        <w:br/>
      </w:r>
      <w:r>
        <w:rPr>
          <w:rFonts w:ascii="Times New Roman"/>
          <w:b w:val="false"/>
          <w:i w:val="false"/>
          <w:color w:val="000000"/>
          <w:sz w:val="28"/>
        </w:rPr>
        <w:t>
</w:t>
      </w:r>
      <w:r>
        <w:rPr>
          <w:rFonts w:ascii="Times New Roman"/>
          <w:b w:val="false"/>
          <w:i w:val="false"/>
          <w:color w:val="000000"/>
          <w:sz w:val="28"/>
        </w:rPr>
        <w:t>
      бірінші - төртінші орындар «пулдан» - 10%;</w:t>
      </w:r>
      <w:r>
        <w:br/>
      </w:r>
      <w:r>
        <w:rPr>
          <w:rFonts w:ascii="Times New Roman"/>
          <w:b w:val="false"/>
          <w:i w:val="false"/>
          <w:color w:val="000000"/>
          <w:sz w:val="28"/>
        </w:rPr>
        <w:t>
</w:t>
      </w:r>
      <w:r>
        <w:rPr>
          <w:rFonts w:ascii="Times New Roman"/>
          <w:b w:val="false"/>
          <w:i w:val="false"/>
          <w:color w:val="000000"/>
          <w:sz w:val="28"/>
        </w:rPr>
        <w:t>
      бесінші - сегізінші орындар «пулдан» - 8%;</w:t>
      </w:r>
      <w:r>
        <w:br/>
      </w:r>
      <w:r>
        <w:rPr>
          <w:rFonts w:ascii="Times New Roman"/>
          <w:b w:val="false"/>
          <w:i w:val="false"/>
          <w:color w:val="000000"/>
          <w:sz w:val="28"/>
        </w:rPr>
        <w:t>
</w:t>
      </w:r>
      <w:r>
        <w:rPr>
          <w:rFonts w:ascii="Times New Roman"/>
          <w:b w:val="false"/>
          <w:i w:val="false"/>
          <w:color w:val="000000"/>
          <w:sz w:val="28"/>
        </w:rPr>
        <w:t>
      тоғызыншы - он екінші орындар «пулдан» - 6%;</w:t>
      </w:r>
      <w:r>
        <w:br/>
      </w:r>
      <w:r>
        <w:rPr>
          <w:rFonts w:ascii="Times New Roman"/>
          <w:b w:val="false"/>
          <w:i w:val="false"/>
          <w:color w:val="000000"/>
          <w:sz w:val="28"/>
        </w:rPr>
        <w:t>
</w:t>
      </w:r>
      <w:r>
        <w:rPr>
          <w:rFonts w:ascii="Times New Roman"/>
          <w:b w:val="false"/>
          <w:i w:val="false"/>
          <w:color w:val="000000"/>
          <w:sz w:val="28"/>
        </w:rPr>
        <w:t>
      он үшінші- он алтыншы орындар «пулдан» - 1 %.</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бойынша жекелеген аудандардың (облыстық маңызы бар қаланың) шығындар есебі мынадай формула бойынша жүргізіледі:</w:t>
      </w:r>
    </w:p>
    <w:bookmarkEnd w:id="3"/>
    <w:bookmarkStart w:name="z30" w:id="4"/>
    <w:p>
      <w:pPr>
        <w:spacing w:after="0"/>
        <w:ind w:left="0"/>
        <w:jc w:val="both"/>
      </w:pPr>
      <w:r>
        <w:rPr>
          <w:rFonts w:ascii="Times New Roman"/>
          <w:b w:val="false"/>
          <w:i w:val="false"/>
          <w:color w:val="000000"/>
          <w:sz w:val="28"/>
        </w:rPr>
        <w:t>      </w:t>
      </w:r>
      <w:r>
        <w:drawing>
          <wp:inline distT="0" distB="0" distL="0" distR="0">
            <wp:extent cx="3619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19500" cy="647700"/>
                    </a:xfrm>
                    <a:prstGeom prst="rect">
                      <a:avLst/>
                    </a:prstGeom>
                  </pic:spPr>
                </pic:pic>
              </a:graphicData>
            </a:graphic>
          </wp:inline>
        </w:drawing>
      </w:r>
      <w:r>
        <w:br/>
      </w:r>
      <w:r>
        <w:rPr>
          <w:rFonts w:ascii="Times New Roman"/>
          <w:b w:val="false"/>
          <w:i w:val="false"/>
          <w:color w:val="000000"/>
          <w:sz w:val="28"/>
        </w:rPr>
        <w:t>
      мұндағы БДБШ</w:t>
      </w:r>
      <w:r>
        <w:rPr>
          <w:rFonts w:ascii="Times New Roman"/>
          <w:b w:val="false"/>
          <w:i w:val="false"/>
          <w:color w:val="000000"/>
          <w:vertAlign w:val="superscript"/>
        </w:rPr>
        <w:t>і</w:t>
      </w:r>
      <w:r>
        <w:rPr>
          <w:rFonts w:ascii="Times New Roman"/>
          <w:b w:val="false"/>
          <w:i w:val="false"/>
          <w:color w:val="000000"/>
          <w:sz w:val="28"/>
        </w:rPr>
        <w:t xml:space="preserve"> – і-ауданның (облыстық маңызы бар қаланың) бюджеттік даму бағдарламалары бойынша есептік шығындары;</w:t>
      </w:r>
      <w:r>
        <w:br/>
      </w:r>
      <w:r>
        <w:rPr>
          <w:rFonts w:ascii="Times New Roman"/>
          <w:b w:val="false"/>
          <w:i w:val="false"/>
          <w:color w:val="000000"/>
          <w:sz w:val="28"/>
        </w:rPr>
        <w:t>
      ЕШ</w:t>
      </w:r>
      <w:r>
        <w:rPr>
          <w:rFonts w:ascii="Times New Roman"/>
          <w:b w:val="false"/>
          <w:i w:val="false"/>
          <w:color w:val="000000"/>
          <w:vertAlign w:val="superscript"/>
        </w:rPr>
        <w:t>i</w:t>
      </w:r>
      <w:r>
        <w:rPr>
          <w:rFonts w:ascii="Times New Roman"/>
          <w:b w:val="false"/>
          <w:i w:val="false"/>
          <w:color w:val="000000"/>
          <w:sz w:val="28"/>
        </w:rPr>
        <w:t>
</w:t>
      </w:r>
      <w:r>
        <w:rPr>
          <w:rFonts w:ascii="Times New Roman"/>
          <w:b w:val="false"/>
          <w:i w:val="false"/>
          <w:color w:val="000000"/>
          <w:sz w:val="28"/>
        </w:rPr>
        <w:t>
 – і-ауданның (облыстық маңызы бар қаланың) ағымдағы есептік шығындары;</w:t>
      </w:r>
      <w:r>
        <w:br/>
      </w:r>
      <w:r>
        <w:rPr>
          <w:rFonts w:ascii="Times New Roman"/>
          <w:b w:val="false"/>
          <w:i w:val="false"/>
          <w:color w:val="000000"/>
          <w:sz w:val="28"/>
        </w:rPr>
        <w:t>
</w:t>
      </w:r>
      <w:r>
        <w:rPr>
          <w:rFonts w:ascii="Times New Roman"/>
          <w:b w:val="false"/>
          <w:i w:val="false"/>
          <w:color w:val="000000"/>
          <w:sz w:val="28"/>
        </w:rPr>
        <w:t>
      ЕШ – барлық аудандардың (облыстық маңызы бар қаланың) жалпы ағымдағы есептік шығындары;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Х</w:t>
      </w:r>
      <w:r>
        <w:rPr>
          <w:rFonts w:ascii="Times New Roman"/>
          <w:b w:val="false"/>
          <w:i w:val="false"/>
          <w:color w:val="000000"/>
          <w:vertAlign w:val="superscript"/>
        </w:rPr>
        <w:t>i</w:t>
      </w:r>
      <w:r>
        <w:rPr>
          <w:rFonts w:ascii="Times New Roman"/>
          <w:b w:val="false"/>
          <w:i w:val="false"/>
          <w:color w:val="000000"/>
          <w:sz w:val="28"/>
        </w:rPr>
        <w:t xml:space="preserve"> – і-ауданның (облыстық маңызы бар қаланың) халқы саны өсімінің болжамы; халық саны өсімінің кері болжамы болған жағдайда 0-ге тең қолданылады;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Х – аудандар (облыстық маңызы бар қалалар) халқы санының өсу болжамдарының оң мәнінің сомасы;</w:t>
      </w:r>
      <w:r>
        <w:br/>
      </w:r>
      <w:r>
        <w:rPr>
          <w:rFonts w:ascii="Times New Roman"/>
          <w:b w:val="false"/>
          <w:i w:val="false"/>
          <w:color w:val="000000"/>
          <w:sz w:val="28"/>
        </w:rPr>
        <w:t>
</w:t>
      </w:r>
      <w:r>
        <w:rPr>
          <w:rFonts w:ascii="Times New Roman"/>
          <w:b w:val="false"/>
          <w:i w:val="false"/>
          <w:color w:val="000000"/>
          <w:sz w:val="28"/>
        </w:rPr>
        <w:t>
      КБ</w:t>
      </w:r>
      <w:r>
        <w:rPr>
          <w:rFonts w:ascii="Times New Roman"/>
          <w:b w:val="false"/>
          <w:i w:val="false"/>
          <w:color w:val="000000"/>
          <w:vertAlign w:val="superscript"/>
        </w:rPr>
        <w:t>i</w:t>
      </w:r>
      <w:r>
        <w:rPr>
          <w:rFonts w:ascii="Times New Roman"/>
          <w:b w:val="false"/>
          <w:i w:val="false"/>
          <w:color w:val="000000"/>
          <w:sz w:val="28"/>
        </w:rPr>
        <w:t xml:space="preserve"> – і-ауданның (облыстық маңызы бар қаланың) бюджеті кірістерінің болжамы;</w:t>
      </w:r>
      <w:r>
        <w:br/>
      </w:r>
      <w:r>
        <w:rPr>
          <w:rFonts w:ascii="Times New Roman"/>
          <w:b w:val="false"/>
          <w:i w:val="false"/>
          <w:color w:val="000000"/>
          <w:sz w:val="28"/>
        </w:rPr>
        <w:t>
</w:t>
      </w:r>
      <w:r>
        <w:rPr>
          <w:rFonts w:ascii="Times New Roman"/>
          <w:b w:val="false"/>
          <w:i w:val="false"/>
          <w:color w:val="000000"/>
          <w:sz w:val="28"/>
        </w:rPr>
        <w:t>
      КБ – аудандар (облыстық маңызы бар қалалар) бюджеті кірістері болжамының сомасы.»;</w:t>
      </w:r>
      <w:r>
        <w:br/>
      </w:r>
      <w:r>
        <w:rPr>
          <w:rFonts w:ascii="Times New Roman"/>
          <w:b w:val="false"/>
          <w:i w:val="false"/>
          <w:color w:val="000000"/>
          <w:sz w:val="28"/>
        </w:rPr>
        <w:t>
</w:t>
      </w:r>
      <w:r>
        <w:rPr>
          <w:rFonts w:ascii="Times New Roman"/>
          <w:b w:val="false"/>
          <w:i w:val="false"/>
          <w:color w:val="000000"/>
          <w:sz w:val="28"/>
        </w:rPr>
        <w:t>
      көрсетілген әдістемеге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3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тамыздағы</w:t>
      </w:r>
      <w:r>
        <w:br/>
      </w:r>
      <w:r>
        <w:rPr>
          <w:rFonts w:ascii="Times New Roman"/>
          <w:b w:val="false"/>
          <w:i w:val="false"/>
          <w:color w:val="000000"/>
          <w:sz w:val="28"/>
        </w:rPr>
        <w:t xml:space="preserve">
№ 886 қаулысына    </w:t>
      </w:r>
      <w:r>
        <w:br/>
      </w:r>
      <w:r>
        <w:rPr>
          <w:rFonts w:ascii="Times New Roman"/>
          <w:b w:val="false"/>
          <w:i w:val="false"/>
          <w:color w:val="000000"/>
          <w:sz w:val="28"/>
        </w:rPr>
        <w:t xml:space="preserve">
қосымша        </w:t>
      </w:r>
    </w:p>
    <w:bookmarkEnd w:id="5"/>
    <w:bookmarkStart w:name="z41" w:id="6"/>
    <w:p>
      <w:pPr>
        <w:spacing w:after="0"/>
        <w:ind w:left="0"/>
        <w:jc w:val="both"/>
      </w:pPr>
      <w:r>
        <w:rPr>
          <w:rFonts w:ascii="Times New Roman"/>
          <w:b w:val="false"/>
          <w:i w:val="false"/>
          <w:color w:val="000000"/>
          <w:sz w:val="28"/>
        </w:rPr>
        <w:t>
Әдістемеге</w:t>
      </w:r>
      <w:r>
        <w:br/>
      </w:r>
      <w:r>
        <w:rPr>
          <w:rFonts w:ascii="Times New Roman"/>
          <w:b w:val="false"/>
          <w:i w:val="false"/>
          <w:color w:val="000000"/>
          <w:sz w:val="28"/>
        </w:rPr>
        <w:t xml:space="preserve">
қосымша </w:t>
      </w:r>
    </w:p>
    <w:bookmarkEnd w:id="6"/>
    <w:bookmarkStart w:name="z40" w:id="7"/>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тізбесі, оларға көрсеткіштер мен коэффициенттер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090"/>
        <w:gridCol w:w="5798"/>
      </w:tblGrid>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топтардың атауы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сипаттағы көрсетілетін мемлекеттік қызметтер</w:t>
            </w:r>
          </w:p>
        </w:tc>
      </w:tr>
      <w:tr>
        <w:trPr>
          <w:trHeight w:val="1935"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қызметтер</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Қорғаныс</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бастап 26 жасты қоса алғандағы әскерге шақырылатын жастағы ер азаматтар</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жұмысты ұйымдастыру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Қоғамдық тәртіп, қауіпсіздік, құқықтық, сот, қылмыстық-атқару қызметі</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беру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жастағы балалар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жастағы балалар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0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18 жасқа дейінгілер</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халықтың жас мөлшері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сақтау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жас мөлшерінің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урбанизация;</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6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халықтың жас мөлшерінің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урбанизация;</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урбанизация;</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Әлеуметтік көмек және әлеуметтік қамсыздандыру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жастағы балалар саны және зейнеткерлік жасынан асқан халық саны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кедейлікті есепке алу (кірісі күнкөріс деңгейінен төмен адамдар үлесінің негізінде);</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 үй-коммуналдық шаруашылығы</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Мәдениет, спорт, туризм және ақпараттық кеңістік</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келетін  адам-күндер</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 және ақпараттық кеңістікті ұйымдастыру жөніндегі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қызметкерлерінің орташа тізімдік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 (млн. текше м)</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(млн. га)</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Атмосфераға ластаушы заттардың шығарындылары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1275"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 сәулет, қала құрылысы және құрылыс қызметі</w:t>
            </w:r>
          </w:p>
        </w:tc>
      </w:tr>
      <w:tr>
        <w:trPr>
          <w:trHeight w:val="102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жылыту маусымының ұзақтығын есепке алу</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Көлік және коммуникация</w:t>
            </w:r>
          </w:p>
        </w:tc>
      </w:tr>
      <w:tr>
        <w:trPr>
          <w:trHeight w:val="138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автожолдардың ұзындығы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xml:space="preserve">
жолдарды күтіп-ұстау; </w:t>
            </w:r>
            <w:r>
              <w:br/>
            </w:r>
            <w:r>
              <w:rPr>
                <w:rFonts w:ascii="Times New Roman"/>
                <w:b w:val="false"/>
                <w:i w:val="false"/>
                <w:color w:val="000000"/>
                <w:sz w:val="20"/>
              </w:rPr>
              <w:t>
жылыту маусымының ұзақтығын есепке алу</w:t>
            </w:r>
          </w:p>
        </w:tc>
      </w:tr>
      <w:tr>
        <w:trPr>
          <w:trHeight w:val="1245"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(млн. п-км)</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Басқалары</w:t>
            </w:r>
          </w:p>
        </w:tc>
      </w:tr>
      <w:tr>
        <w:trPr>
          <w:trHeight w:val="69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90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99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705"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