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a9f7" w14:textId="d52a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ды өзгерту және сертификатты қайта ресімдеу қағидаларын бекіту туралы" Қазақстан Республикасы Үкіметінің 2012 жылғы 7 мамырдағы № 58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қыркүйектегі № 1000 қаулысы. Күші жойылды - Қазақстан Республикасы Үкіметінің 2015 жылғы 7 қыркүйектегі № 7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 шығарындыларына квоталарды өзгерту және сертификатты қайта ресімдеу қағидаларын бекіту туралы» Қазақстан Республикасы Үкіметінің 2012 жылғы 7 мамырдағы № 5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54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арниктік газдар шығарындыларына квоталарды өзгерту және сертификатты қайта ресімд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, табиғат пайдаланушы қоршаған ортаны қорғау саласындағы уәкілетті органға (бұдан әрі - уәкілетті орган) ағымдағы жылғы 1 қазанға дейін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бекіткен нысан бойынша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отаның өзгеруін негіздейтін есептерді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отаның ұлғаюына байланысты парниктік газдар шығарындыларына квоталарды қайта қарау белгіленген базалық деңгейден ұлттық жоспардың қолданылу мерзімі аяқталғанға дейінгі кезеңде жүргізілген өзгертулер бойынша қар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1. Уәкілетті органға ұсынылған материалдардың толық еместігі және дәйексіздігі квотаны өзгертуден бас тарту үшін негіз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қызметті алушының заңды тұлғасын мемлекеттік тіркеу (қайта тіркеу) туралы куәліктің* немесе анықтама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