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cdce" w14:textId="e42c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 қазандағы № 1048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 қазандағы</w:t>
      </w:r>
      <w:r>
        <w:br/>
      </w:r>
      <w:r>
        <w:rPr>
          <w:rFonts w:ascii="Times New Roman"/>
          <w:b w:val="false"/>
          <w:i w:val="false"/>
          <w:color w:val="000000"/>
          <w:sz w:val="28"/>
        </w:rPr>
        <w:t xml:space="preserve">
№ 1048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«Төтенше жағдайлардың алдын алудың және жоюдың мемлекеттік жүйесі туралы» Қазақстан Республикасы Үкіметінің 1997 жылғы 28 тамыздағы № 1298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Төтенше жағдайлардың алдын алудың және жоюдың мемлекеттік жүйесі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он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және жою жөніндегі ведомствоаралық мемлекеттік комиссияны Қазақстан Республикасының Төтенше жағдайлар министрі, ал төтенше жағдайлар жөніндегі аумақтық және салалық комиссияларды тиісінше облыстардың (республикалық маңызы бар қаланың, астананың) және аудандардың (облыстық маңызы бар қалалардың) әкімдері, орталық атқарушы органдар басшыларының орынбасарлары басқарады.».</w:t>
      </w:r>
      <w:r>
        <w:br/>
      </w:r>
      <w:r>
        <w:rPr>
          <w:rFonts w:ascii="Times New Roman"/>
          <w:b w:val="false"/>
          <w:i w:val="false"/>
          <w:color w:val="000000"/>
          <w:sz w:val="28"/>
        </w:rPr>
        <w:t>
</w:t>
      </w:r>
      <w:r>
        <w:rPr>
          <w:rFonts w:ascii="Times New Roman"/>
          <w:b w:val="false"/>
          <w:i w:val="false"/>
          <w:color w:val="000000"/>
          <w:sz w:val="28"/>
        </w:rPr>
        <w:t>
      2. «Халықты және өрт қауіпсіздігі саласындағы мамандарды хабарландыру, білімді насихаттау, оқыту ережесін бекіту туралы» Қазақстан Республикасы Үкіметінің 2002 жылғы 19 желтоқсандағы № 1327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45, 452-құжат):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Халықты және өрт қауіпсіздігі саласындағы мамандарды хабарландыру, білімді насихаттау, оқыту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Өрт қауіпсіздігі ережелерін насихаттау жөніндегі материалдарды бұқаралық ақпарат құралдарында жариялауға байланысты шығыстарды қаржыландыру республикалық бюджетте осы мақсаттарға көзделген қаражат шегінде жүргізіледі.».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