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f67d" w14:textId="011f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тізбесін бекіту туралы" Қазақстан Республикасы Үкіметінің 2011 жылғы 14 желтоқсандағы № 1533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1483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тізбесін бекіту туралы» Қазақстан Республикасы Үкіметінің 2011 жылғы 14 желтоқсандағы № 1533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617"/>
        <w:gridCol w:w="28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1067x11.9 mm, 3РЕ соаt. Мұнай мен газ құбырларына арналған шиыршық жапсарлы, зауыттық оқшауланған, доғалап дәнекерлеу әдісімен дайындалған Д1067х11,9 mm, Рр=7,4 МПа құбыр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реттік нөмірі 8-жол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617"/>
        <w:gridCol w:w="28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1067x15.9 mm, 3РЕ соаt. Мұнай мен газ құбырларына арналған шиыршық жапсарлы, зауыттық оқшауланған, доғалап дәнекерлеу әдісімен дайындалған Д1067х15,9, Рр=9,8 МПа құбыр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реттік нөмірлері 57, 58, 59, 60, 61, 62, 63, 64, 65, 66, 67, 68, 69, 70, 71, 72, 73, 74, 75, 76, 77, 78, 79, 80, 81-жолдар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0729"/>
        <w:gridCol w:w="266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30 гр., Ду1067х19.1 мм дәнекерлеу ұшы Х70, Рр=10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30 гр., Ду1067х14, 3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Ду1067х19.1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1067x25.4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1067x25.4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Рр=5,4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үшы Х70, Рр=5,4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Ду813х14.3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Ду813х14.3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Ду508х8.7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Ду508х8.7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Ду508х11.1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 11.1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Ду406х7.1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Ду406х7.1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Ду406х9.5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Ду324х5.6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Ду324х5.6 мм дәнекерлеу ұшы Х70, Рр=8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Ду324х5.6 мм дәнекерлеу ұшы Х70, Рр=5,4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Ду324х9.5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Ду324х9.5 мм дәнекерлеу ұшы Х70, Рр=10,0 МПа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реттік нөмірлері 90, 91, 92, 93, 94-жолдар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0515"/>
        <w:gridCol w:w="288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PSU300-DС-10 арналған N42, 18-60 Vdc қуат блогы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N415 шассиге арналған 18-60Vdc (120W) қуат блогы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 N70 шассиге арналған 18-60Vdc (1000W) қуат блогы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OTN/OTN-X3M шассиге арналған 230 Vас қуат кәбілі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N50/N70 шассиге арналған 230 Vас қуат кәбілі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8544 49 950 0</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реттік нөмірлері 98, 99, 100, 101, 102, 103, 104, 105-жолдар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шассиге арналған BORA2500-X3M-ULM150-4 желілік картасы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шассиге арналған BORA2500-X3M-ULM150-4 желілік картасы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 шассиге арналған BORA2500-X3M-ULM150-8 желілік картасы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МРЕG-Audi картасы (4 бейне порт + 4 стерео аудио порт)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RS485 интерфейсіне деректерді беруге арналған арналған жауап беретін карта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ЕТ-100АЕ Интернетін 5 Ethernet жеке буынға бөлуге арналған карта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қамтамасыз етуі бар компакт диск </w:t>
            </w:r>
            <w:r>
              <w:br/>
            </w:r>
            <w:r>
              <w:rPr>
                <w:rFonts w:ascii="Times New Roman"/>
                <w:b w:val="false"/>
                <w:i w:val="false"/>
                <w:color w:val="000000"/>
                <w:sz w:val="20"/>
              </w:rPr>
              <w:t>
</w:t>
            </w:r>
            <w:r>
              <w:rPr>
                <w:rFonts w:ascii="Times New Roman"/>
                <w:b w:val="false"/>
                <w:i w:val="false"/>
                <w:color w:val="000000"/>
                <w:sz w:val="20"/>
              </w:rPr>
              <w:t>(қағаз жүзіндегі лицензия қоса ұсынылады)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8523 49 450 0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MVidIP цифрлық бейнеге арналған бейне картасы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реттік нөмірі 117-жол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RSХММ платасы (RS-232, RS-422 интерфейстерін жіберу)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реттік нөмірі 119-жол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шассиге арналған ВОRА-OTN150-4 желілік картасы (SFP модульдерсіз)</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8542 31 909 9</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реттік нөмірлері 126, 127-жолдар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арналы гибрид-фериттік комбайнер радиосигналды күшейтуге арналған, байланыстың көп арналы жүйелерінің құрамында 4 таратқыштың қуатын біріктіру құрылғысы ретінде пайдаланылады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 және преселекторы бар 4 арнаға арналған қабылдағыш таратушы панель, 30 дБ-ға дейін күшейту. Сонымен қатар байланыстың көп арналы жүйелерінің құрамында 4 таратқыштың қуатын біріктіру құрылғысы ретінде пайдалануға арналған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реттік нөмірлері 129, 130, 131-жолдар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Жолақтық қабылдау сүзгісі. Диапазондық жолақтық сүзгілер қатар жұмыс істеп тұрған бірнеше таратқыштардың радиоэлектрондық үйлесімділігін қамтамасыз етуге арналған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блогы, резервтік қоректендіруді ұстап тұру арқылы резервке алу және АКБ зарядтау өзінде қоректендірудің желілік көзі жоқ аппаратураны қоректендіруге арналған. Олар әрқашан көрсетілген параметрлерді ескере отырып, жүктемені қоректендіруді қамтамасыз етуі тиіс</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Радиожелілік фидерлік кәбіл-қолданудың негізгі саласы байланыстың ұялы және спутниктік телекоммуникациялық жүйелері болып табылады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реттік нөмірі 133-жол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Дуплексер (оқшаулау 80 дБ, 1,5 дБ-ден аспайтын шығындар) - электр сүзгісі бір мезетте бір антеннаға қабылдауға және одан таратуға, қажет емес сигналдарды кесіп тастап, екі сигналды бір антеннаға жеткізуге мүмкіндік береді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реттік нөмірі 149-жол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332"/>
        <w:gridCol w:w="2879"/>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 тұрақтыға түрлендіру және осы токты реттеуге, газ құбырында қорғау әлеуетін ұстап тұруға арналған, сол арқылы коррозиядан қорғауды қамтамасыз ете отырып, катодтық қорғау станциясы (түрлендіргіш-түзеткіш)</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көрсетілген қаулымен бекітілген акцизделетіндерді қоспағанда, «Қазақстан – Қытай» газ құбыры Екінші учаскесінің жобасын іске асыру мақсатында «Қазақстан – Қытай» газ құбырының Екінші учаскесін салудың өндірістік процесіне тікелей байланысты және Қазақстан Республикасының аумағында құрылған ұйым «Қазақстан – Қытай» газ құбырының Екінші учаскесін салуда пайдалану үшін Қазақстан Республикасының аумағына әкелетін, кедендік баждарды, кедендік алымдарды және қосылған құн салығын төлеуден босатылатын тауарлардың, материалдар мен жабдықтардың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597"/>
        <w:gridCol w:w="2666"/>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1067x11.9 mm, 3РЕ соаt. Мұнай мен газ құбырларына арналған шиыршық жапсарлы, зауыттық оқшауланған, доғалап дәнекерлеу әдісімен дайындалған Д1067х11,9 mm, Рр=7,4 МПа құбыр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bl>
    <w:p>
      <w:pPr>
        <w:spacing w:after="0"/>
        <w:ind w:left="0"/>
        <w:jc w:val="both"/>
      </w:pP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реттік нөмірі 8-жол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597"/>
        <w:gridCol w:w="2666"/>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HSAW 1067x15.9 mm, 3РЕ соаt. Мұнай мен газ құбырларына арналған шиыршық жапсарлы, зауыттық оқшауланған, доғалап дәнекерлеу әдісімен дайындалған Д1067х15,9, Рр=9,8 МПа құбыр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7305 19 000 0,</w:t>
            </w:r>
            <w:r>
              <w:br/>
            </w:r>
            <w:r>
              <w:rPr>
                <w:rFonts w:ascii="Times New Roman"/>
                <w:b w:val="false"/>
                <w:i w:val="false"/>
                <w:color w:val="000000"/>
                <w:sz w:val="20"/>
              </w:rPr>
              <w:t>
</w:t>
            </w:r>
            <w:r>
              <w:rPr>
                <w:rFonts w:ascii="Times New Roman"/>
                <w:b w:val="false"/>
                <w:i w:val="false"/>
                <w:color w:val="000000"/>
                <w:sz w:val="20"/>
              </w:rPr>
              <w:t>7606 19 900 0</w:t>
            </w:r>
          </w:p>
        </w:tc>
      </w:tr>
    </w:tbl>
    <w:p>
      <w:pPr>
        <w:spacing w:after="0"/>
        <w:ind w:left="0"/>
        <w:jc w:val="both"/>
      </w:pP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реттік нөмірлері 57, 58, 59, 60, 61, 62, 63, 64, 65, 66, 67, 68, 69, 70, 71, 72, 73, 74, 75, 76, 77, 78, 79, 80, 81-жолдар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0614"/>
        <w:gridCol w:w="2670"/>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30 гр., Ду1067х19.1 мм дәнекерлеу ұшы Х70, Рр=10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З0 гр., Ду1067х14, 3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45 гр., Ду1067х19.1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1067x25.4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1067x25.4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1067x19.1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 1067x14.3 мм дәнекерлеу ұшы Х70, Рр=5,4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 1067x14.3 мм дәнекерлеу үшы Х70, Рр=5,4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Ду813х14.3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Ду813х14.3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7307 93 910 0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Ду508х8.7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Ду508х8.7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Ду508х11.1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Ду508х 11.1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Ду406х7.1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Ду406х7.1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Ду406х9.5 мм дәнекерлеу ұшы Х70, Рр=10,0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бүрғыш 90 гр., Ду324х5.6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Ду324х5.6 мм дәнекерлеу ұшы Х70, Рр=8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Ду324х5.6 мм дәнекерлеу ұшы Х70, Рр=5,4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90 гр., Ду324х9.5 мм дәнекерлеу ұшы Х70, Рр=10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Түйістіре дәнекерлеуге арналған болат бұрғыш 45 гр., Ду324х9.5 мм дәнекерлеу ұшы Х70, Рр=10 МПа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7307 93 110 0</w:t>
            </w:r>
          </w:p>
        </w:tc>
      </w:tr>
    </w:tbl>
    <w:p>
      <w:pPr>
        <w:spacing w:after="0"/>
        <w:ind w:left="0"/>
        <w:jc w:val="both"/>
      </w:pP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реттік нөмірі 89-жол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597"/>
        <w:gridCol w:w="2666"/>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ұяшықтың орнына арналған алюминий тығын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bl>
    <w:p>
      <w:pPr>
        <w:spacing w:after="0"/>
        <w:ind w:left="0"/>
        <w:jc w:val="both"/>
      </w:pP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реттік нөмірлері 90, 91, 92, 93, 94-жолдар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488"/>
        <w:gridCol w:w="266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PSU300-DС-10 арналған N42, 18-60 Vdc қуат блогы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N415 шассиге арналған 18-60Vdc (120W) қуат блогы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 N70 шассиге арналған 18-60Vdc (1000W) қуат блогы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OTN/OTN-X3M шассиге арналған 230 Vас қуат кәбілі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N50/N70 шассиге арналған 230 Vас қуат кәбілі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8544 49 950 9</w:t>
            </w:r>
          </w:p>
        </w:tc>
      </w:tr>
    </w:tbl>
    <w:p>
      <w:pPr>
        <w:spacing w:after="0"/>
        <w:ind w:left="0"/>
        <w:jc w:val="both"/>
      </w:pP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реттік нөмірлері 98, 99, 100, 101, 102, 103, 104, 105-жолдар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488"/>
        <w:gridCol w:w="266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шассиге арналған BORA2500-X3M-ULM150-4 желілік картасы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шассиге арналған BORA2500-X3M-ULM150-4 желілік картасы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N42 шассиге арналған BORA2500-X3M-ULM150-8 желілік картасы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МРЕG-Audi картасы (4 бейне порт + 4 стерео аудио порт)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RS485 интерфейсіне деректерді беруге арналған жауап беретін карта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ЕТ-100АЕ Интернетін 5 Ethernet жеке буынға бөлуге арналған карта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етуі бар компакт диск (қағаз жүзіндегі лицензия қоса ұсынылады).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8523 49 450 0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MVidIP цифрлық бейне үшін бейне картасы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bl>
    <w:p>
      <w:pPr>
        <w:spacing w:after="0"/>
        <w:ind w:left="0"/>
        <w:jc w:val="both"/>
      </w:pP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реттік нөмірлері 112, 113, 114-жолдар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5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ОТN-N42 жабдығын монтаждауға арналған алюминийден жасалған шасси (қуат блогысыз)</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жабдығын монтаждауға арналған алюминийден жасалған шасси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N415 жабдығын монтаждауға арналған алюминийден жасалған шасси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r>
    </w:tbl>
    <w:p>
      <w:pPr>
        <w:spacing w:after="0"/>
        <w:ind w:left="0"/>
        <w:jc w:val="both"/>
      </w:pP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реттік нөмірлері 117, 118, 119-жолдар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RSХММ платасы (RS-232, RS-422 интерфейстерін жіберу)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етумен жеке компьютер (мониторсыз)</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8471 41 0009</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N215 шасси үшін ВОRА-OTN150-4 желілік картасы (SFP модульдерсіз)</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8542 31 909 8</w:t>
            </w:r>
          </w:p>
        </w:tc>
      </w:tr>
    </w:tbl>
    <w:p>
      <w:pPr>
        <w:spacing w:after="0"/>
        <w:ind w:left="0"/>
        <w:jc w:val="both"/>
      </w:pP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реттік нөмірлері 126, 127-жолдар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арналы гибрид-фериттік комбайнер радиосигналды күшейтуге арналған, байланыстың көп арналы жүйелерінің құрамында 4 таратқыштың қуатын біріктіру құрылғысы ретінде пайдаланылады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8518 40 800 9</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 және преселекторы бар 4 арнаға арналған қабылдағыш таратушы панель, 30 дБ-ға дейін күшейту. Сонымен қатар байланыстың көп арналы жүйелерінің құрамында 4 таратқыштың қуатын біріктіру құрылғысы ретінде пайдалануға арналған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реттік нөмірлері 129, 130, 131-жолдар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Жолақтық қабылдау сүзгісі. Диапазондық жолақтық сүзгілер қатар жұмыс істеп тұрған бірнеше таратқыштардың радиоэлектрондық үйлесімділігін қамтамасыз етуге арналған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Қоректендіру блогы, резервтік қоректендіруді ұстап тұру арқылы резервке алу және АКБ зарядтау өзінде қоректендірудің желілік көзі жоқ аппаратураны қоректендіруге арналған. Олар әрқашан көрсетілген параметрлерді ескере отырып, жүктемені қоректендіруді қамтамасыз етуі тиіс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8504 40 820 9</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Радиожелілік фидерлік кәбіл-қолданудың негізгі саласы байланыстың ұялы және спутниктік телекоммуникациялық жүйелері болып табылады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r>
    </w:tbl>
    <w:p>
      <w:pPr>
        <w:spacing w:after="0"/>
        <w:ind w:left="0"/>
        <w:jc w:val="both"/>
      </w:pP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реттік нөмірі 133-жол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Дуплексер (оқшаулау 80 дБ, 1,5 дБ-ден аспайтын шығындар) - электр сүзгісі бір мезетте бір антеннаға қабылдауға және одан таратуға, қажет емес сигналдарды кесіп тастап, екі сигналды бір антеннаға жеткізуге мүмкіндік береді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реттік нөмірі 149-жол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0510"/>
        <w:gridCol w:w="266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токты тұрақтыға түрлендіру және осы токты реттеуге, газ құбырында қорғау әлеуетін ұстап тұруға арналған, сол арқылы коррозиядан қорғауды қамтамасыз ете отырып, катодтық қорғау станциясы (түрлендіргіш-түзеткіш)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8543 70 900 0</w:t>
            </w:r>
          </w:p>
        </w:tc>
      </w:tr>
    </w:tbl>
    <w:p>
      <w:pPr>
        <w:spacing w:after="0"/>
        <w:ind w:left="0"/>
        <w:jc w:val="both"/>
      </w:pP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2. Осы қаулы 1-тармақтың 2012 жылғы 1 қаңтардан бастап қолданысқа енгізілетін және 2013 жылғы 1 қыркүйекке дейін қолданыста болатын </w:t>
      </w:r>
      <w:r>
        <w:rPr>
          <w:rFonts w:ascii="Times New Roman"/>
          <w:b w:val="false"/>
          <w:i w:val="false"/>
          <w:color w:val="000000"/>
          <w:sz w:val="28"/>
        </w:rPr>
        <w:t>1) тармақшасын</w:t>
      </w:r>
      <w:r>
        <w:rPr>
          <w:rFonts w:ascii="Times New Roman"/>
          <w:b w:val="false"/>
          <w:i w:val="false"/>
          <w:color w:val="000000"/>
          <w:sz w:val="28"/>
        </w:rPr>
        <w:t xml:space="preserve"> қоспағанда, 2013 жылғы 1 қыркүйектен бастап қолданысқа енгізіледі және ресми жариялануға тиіс.</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