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2ee5" w14:textId="e392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палатасына міндетті мүшелік жарналардың шекті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1560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кәсіпкерлер палатасы туралы" 2013 жылғы 4 шілдедегі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Ұлттық кәсіпкерлер палатасына міндетті мүшелік жарналардың мынадай шекті мөлшерлері бекітілсін:</w:t>
      </w:r>
    </w:p>
    <w:bookmarkEnd w:id="1"/>
    <w:p>
      <w:pPr>
        <w:spacing w:after="0"/>
        <w:ind w:left="0"/>
        <w:jc w:val="both"/>
      </w:pPr>
      <w:r>
        <w:rPr>
          <w:rFonts w:ascii="Times New Roman"/>
          <w:b w:val="false"/>
          <w:i w:val="false"/>
          <w:color w:val="000000"/>
          <w:sz w:val="28"/>
        </w:rPr>
        <w:t>
      1) республикалық бюджет туралы заңда белгіленген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табысы алпыс мың еселенген айлық есептік көрсеткіштен асатын және бір жарым миллион еселенген айлық есептік көрсеткіштен аспайтын кәсіпкерлік субъектілері үшін – есепті күнтізбелік жылдың 1 қаңтарына бір жүз алпыс айлық есептік көрсеткіш мөлшерінде;</w:t>
      </w:r>
    </w:p>
    <w:p>
      <w:pPr>
        <w:spacing w:after="0"/>
        <w:ind w:left="0"/>
        <w:jc w:val="both"/>
      </w:pPr>
      <w:r>
        <w:rPr>
          <w:rFonts w:ascii="Times New Roman"/>
          <w:b w:val="false"/>
          <w:i w:val="false"/>
          <w:color w:val="000000"/>
          <w:sz w:val="28"/>
        </w:rPr>
        <w:t>
      2) республикалық бюджет туралы заңда белгіленген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табысы бір жарым миллион еселенген айлық есептік көрсеткіштен асатын кәсіпкерлік субъектілері үшін – есепті күнтізбелік жылдың 1 қаңтарына төрт мың төрт жүз айлық есептік көрсеткіш мөлшерінде.</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