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dc438" w14:textId="71dc4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мүлікті республикалық меншіктен коммуналдық меншікке берудің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31 наурыздағы № 277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«Мемлекеттік заңды тұлғаларға бекітіліп берілген мемлекеттік мүлікті мемлекеттік меншіктің бір түрінен екіншісіне беру қағидасын бекіту туралы» Қазақстан Республикасы Үкіметінің 2011 жылғы 1 маусымдағы № 616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кәріздің сыртқы желілері республикалық меншіктен Қазақстан Республикасы Президенті Іс Басқармасының балансынан Астана қаласының коммуналдық меншігіне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мүлік және жекешелендіру комитеті Астана қаласының әкімдігімен және Қазақстан Республикасы Президентінің Іс Басқармасымен (келісім бойынша) бірлесіп, заңнамада белгіленген тәртіппен осы қаулыға қосымшада көрсетілген мүлікті қабылдау-беру жөнінде қажетті ұйымдастырушылық іс-шараларды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Премьер-Министрі                            С.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31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277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Республикалық меншіктен Астана қаласының</w:t>
      </w:r>
      <w:r>
        <w:br/>
      </w:r>
      <w:r>
        <w:rPr>
          <w:rFonts w:ascii="Times New Roman"/>
          <w:b/>
          <w:i w:val="false"/>
          <w:color w:val="000000"/>
        </w:rPr>
        <w:t>
коммуналдық меншігіне берілетін мүліктің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95"/>
        <w:gridCol w:w="3191"/>
        <w:gridCol w:w="2083"/>
        <w:gridCol w:w="2231"/>
      </w:tblGrid>
      <w:tr>
        <w:trPr>
          <w:trHeight w:val="255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атауы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атауы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Саны</w:t>
            </w:r>
          </w:p>
        </w:tc>
      </w:tr>
      <w:tr>
        <w:trPr>
          <w:trHeight w:val="360" w:hRule="atLeast"/>
        </w:trPr>
        <w:tc>
          <w:tcPr>
            <w:tcW w:w="6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Есіл өзенінің сол жағалауында № 19 көшенің оңтүстігіндегі «Нұра» мемлекеттік резиденциясы. Кәріздің сыртқы желілері</w:t>
            </w:r>
          </w:p>
        </w:tc>
        <w:tc>
          <w:tcPr>
            <w:tcW w:w="3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Кәріздің сыртқы желілері</w:t>
            </w:r>
          </w:p>
        </w:tc>
        <w:tc>
          <w:tcPr>
            <w:tcW w:w="2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</w:t>
            </w:r>
          </w:p>
        </w:tc>
        <w:tc>
          <w:tcPr>
            <w:tcW w:w="22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