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968c" w14:textId="0509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желтоқсандағы № 1405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"Рентабельділігі төмен кен орынбасары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40-41, 392-құжат)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3, 4, 5-жолдармен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669"/>
        <w:gridCol w:w="3613"/>
        <w:gridCol w:w="217"/>
        <w:gridCol w:w="1080"/>
        <w:gridCol w:w="933"/>
        <w:gridCol w:w="4162"/>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Белинское, Краснооктярбрь</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Северное, Нижне-Ашут, Верхне-Ашут, Үштөбе</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Шығыс-Аят</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маусымдағы № 2119</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қаңтардан бастап 2015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