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31745" w14:textId="73317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 делдалы ретіндегі жеке және заңды тұлғаларды тауарды кейіннен
үшінші тұлғаға сату талаптарымен коммерциялық кредит беру жолымен
қаржыландыру шеңберінде тауарды сатып алу және сату жүргізілетін
халықаралық тауар биржаларының тізбесін бекіту туралы</w:t>
      </w:r>
    </w:p>
    <w:p>
      <w:pPr>
        <w:spacing w:after="0"/>
        <w:ind w:left="0"/>
        <w:jc w:val="both"/>
      </w:pPr>
      <w:r>
        <w:rPr>
          <w:rFonts w:ascii="Times New Roman"/>
          <w:b w:val="false"/>
          <w:i w:val="false"/>
          <w:color w:val="000000"/>
          <w:sz w:val="28"/>
        </w:rPr>
        <w:t>Қазақстан Республикасы Үкіметінің 2015 жылғы 24 шілдедегі № 584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Сауда делдалы ретіндегі жеке және заңды тұлғаларды тауарды кейіннен үшінші тұлғаға сату талаптарымен коммерциялық кредит беру жолымен қаржыландыру шеңберінде тауар сатып алу және сату жүргізілетін халықаралық тауар биржаларының мына тізбесі бекітілсін:</w:t>
      </w:r>
      <w:r>
        <w:br/>
      </w:r>
      <w:r>
        <w:rPr>
          <w:rFonts w:ascii="Times New Roman"/>
          <w:b w:val="false"/>
          <w:i w:val="false"/>
          <w:color w:val="000000"/>
          <w:sz w:val="28"/>
        </w:rPr>
        <w:t>
</w:t>
      </w:r>
      <w:r>
        <w:rPr>
          <w:rFonts w:ascii="Times New Roman"/>
          <w:b w:val="false"/>
          <w:i w:val="false"/>
          <w:color w:val="000000"/>
          <w:sz w:val="28"/>
        </w:rPr>
        <w:t>
      1) Australian Securities Exchange;</w:t>
      </w:r>
      <w:r>
        <w:br/>
      </w:r>
      <w:r>
        <w:rPr>
          <w:rFonts w:ascii="Times New Roman"/>
          <w:b w:val="false"/>
          <w:i w:val="false"/>
          <w:color w:val="000000"/>
          <w:sz w:val="28"/>
        </w:rPr>
        <w:t>
</w:t>
      </w:r>
      <w:r>
        <w:rPr>
          <w:rFonts w:ascii="Times New Roman"/>
          <w:b w:val="false"/>
          <w:i w:val="false"/>
          <w:color w:val="000000"/>
          <w:sz w:val="28"/>
        </w:rPr>
        <w:t>
      2) Bursa Malaysia;</w:t>
      </w:r>
      <w:r>
        <w:br/>
      </w:r>
      <w:r>
        <w:rPr>
          <w:rFonts w:ascii="Times New Roman"/>
          <w:b w:val="false"/>
          <w:i w:val="false"/>
          <w:color w:val="000000"/>
          <w:sz w:val="28"/>
        </w:rPr>
        <w:t>
</w:t>
      </w:r>
      <w:r>
        <w:rPr>
          <w:rFonts w:ascii="Times New Roman"/>
          <w:b w:val="false"/>
          <w:i w:val="false"/>
          <w:color w:val="000000"/>
          <w:sz w:val="28"/>
        </w:rPr>
        <w:t>
      3) CME Group;</w:t>
      </w:r>
      <w:r>
        <w:br/>
      </w:r>
      <w:r>
        <w:rPr>
          <w:rFonts w:ascii="Times New Roman"/>
          <w:b w:val="false"/>
          <w:i w:val="false"/>
          <w:color w:val="000000"/>
          <w:sz w:val="28"/>
        </w:rPr>
        <w:t>
</w:t>
      </w:r>
      <w:r>
        <w:rPr>
          <w:rFonts w:ascii="Times New Roman"/>
          <w:b w:val="false"/>
          <w:i w:val="false"/>
          <w:color w:val="000000"/>
          <w:sz w:val="28"/>
        </w:rPr>
        <w:t>
      4) Dalian Commodity Exchange;</w:t>
      </w:r>
      <w:r>
        <w:br/>
      </w:r>
      <w:r>
        <w:rPr>
          <w:rFonts w:ascii="Times New Roman"/>
          <w:b w:val="false"/>
          <w:i w:val="false"/>
          <w:color w:val="000000"/>
          <w:sz w:val="28"/>
        </w:rPr>
        <w:t>
</w:t>
      </w:r>
      <w:r>
        <w:rPr>
          <w:rFonts w:ascii="Times New Roman"/>
          <w:b w:val="false"/>
          <w:i w:val="false"/>
          <w:color w:val="000000"/>
          <w:sz w:val="28"/>
        </w:rPr>
        <w:t>
      5) European Exchange (Eurex);</w:t>
      </w:r>
      <w:r>
        <w:br/>
      </w:r>
      <w:r>
        <w:rPr>
          <w:rFonts w:ascii="Times New Roman"/>
          <w:b w:val="false"/>
          <w:i w:val="false"/>
          <w:color w:val="000000"/>
          <w:sz w:val="28"/>
        </w:rPr>
        <w:t>
</w:t>
      </w:r>
      <w:r>
        <w:rPr>
          <w:rFonts w:ascii="Times New Roman"/>
          <w:b w:val="false"/>
          <w:i w:val="false"/>
          <w:color w:val="000000"/>
          <w:sz w:val="28"/>
        </w:rPr>
        <w:t>
      6) Hong Kong Exchanges and Clearing;</w:t>
      </w:r>
      <w:r>
        <w:br/>
      </w:r>
      <w:r>
        <w:rPr>
          <w:rFonts w:ascii="Times New Roman"/>
          <w:b w:val="false"/>
          <w:i w:val="false"/>
          <w:color w:val="000000"/>
          <w:sz w:val="28"/>
        </w:rPr>
        <w:t>
</w:t>
      </w:r>
      <w:r>
        <w:rPr>
          <w:rFonts w:ascii="Times New Roman"/>
          <w:b w:val="false"/>
          <w:i w:val="false"/>
          <w:color w:val="000000"/>
          <w:sz w:val="28"/>
        </w:rPr>
        <w:t>
      7) ICE Futures Canada;</w:t>
      </w:r>
      <w:r>
        <w:br/>
      </w:r>
      <w:r>
        <w:rPr>
          <w:rFonts w:ascii="Times New Roman"/>
          <w:b w:val="false"/>
          <w:i w:val="false"/>
          <w:color w:val="000000"/>
          <w:sz w:val="28"/>
        </w:rPr>
        <w:t>
</w:t>
      </w:r>
      <w:r>
        <w:rPr>
          <w:rFonts w:ascii="Times New Roman"/>
          <w:b w:val="false"/>
          <w:i w:val="false"/>
          <w:color w:val="000000"/>
          <w:sz w:val="28"/>
        </w:rPr>
        <w:t>
      8) ICE Futures Europe;</w:t>
      </w:r>
      <w:r>
        <w:br/>
      </w:r>
      <w:r>
        <w:rPr>
          <w:rFonts w:ascii="Times New Roman"/>
          <w:b w:val="false"/>
          <w:i w:val="false"/>
          <w:color w:val="000000"/>
          <w:sz w:val="28"/>
        </w:rPr>
        <w:t>
</w:t>
      </w:r>
      <w:r>
        <w:rPr>
          <w:rFonts w:ascii="Times New Roman"/>
          <w:b w:val="false"/>
          <w:i w:val="false"/>
          <w:color w:val="000000"/>
          <w:sz w:val="28"/>
        </w:rPr>
        <w:t>
      9) ICE Futures U. S.;</w:t>
      </w:r>
      <w:r>
        <w:br/>
      </w:r>
      <w:r>
        <w:rPr>
          <w:rFonts w:ascii="Times New Roman"/>
          <w:b w:val="false"/>
          <w:i w:val="false"/>
          <w:color w:val="000000"/>
          <w:sz w:val="28"/>
        </w:rPr>
        <w:t>
</w:t>
      </w:r>
      <w:r>
        <w:rPr>
          <w:rFonts w:ascii="Times New Roman"/>
          <w:b w:val="false"/>
          <w:i w:val="false"/>
          <w:color w:val="000000"/>
          <w:sz w:val="28"/>
        </w:rPr>
        <w:t>
      10) Korea Exchange;</w:t>
      </w:r>
      <w:r>
        <w:br/>
      </w:r>
      <w:r>
        <w:rPr>
          <w:rFonts w:ascii="Times New Roman"/>
          <w:b w:val="false"/>
          <w:i w:val="false"/>
          <w:color w:val="000000"/>
          <w:sz w:val="28"/>
        </w:rPr>
        <w:t>
</w:t>
      </w:r>
      <w:r>
        <w:rPr>
          <w:rFonts w:ascii="Times New Roman"/>
          <w:b w:val="false"/>
          <w:i w:val="false"/>
          <w:color w:val="000000"/>
          <w:sz w:val="28"/>
        </w:rPr>
        <w:t>
      11) London Metal Exchange;</w:t>
      </w:r>
      <w:r>
        <w:br/>
      </w:r>
      <w:r>
        <w:rPr>
          <w:rFonts w:ascii="Times New Roman"/>
          <w:b w:val="false"/>
          <w:i w:val="false"/>
          <w:color w:val="000000"/>
          <w:sz w:val="28"/>
        </w:rPr>
        <w:t>
</w:t>
      </w:r>
      <w:r>
        <w:rPr>
          <w:rFonts w:ascii="Times New Roman"/>
          <w:b w:val="false"/>
          <w:i w:val="false"/>
          <w:color w:val="000000"/>
          <w:sz w:val="28"/>
        </w:rPr>
        <w:t>
      12) LSE Group;</w:t>
      </w:r>
      <w:r>
        <w:br/>
      </w:r>
      <w:r>
        <w:rPr>
          <w:rFonts w:ascii="Times New Roman"/>
          <w:b w:val="false"/>
          <w:i w:val="false"/>
          <w:color w:val="000000"/>
          <w:sz w:val="28"/>
        </w:rPr>
        <w:t>
</w:t>
      </w:r>
      <w:r>
        <w:rPr>
          <w:rFonts w:ascii="Times New Roman"/>
          <w:b w:val="false"/>
          <w:i w:val="false"/>
          <w:color w:val="000000"/>
          <w:sz w:val="28"/>
        </w:rPr>
        <w:t>
      13) NYSE Euronext;</w:t>
      </w:r>
      <w:r>
        <w:br/>
      </w:r>
      <w:r>
        <w:rPr>
          <w:rFonts w:ascii="Times New Roman"/>
          <w:b w:val="false"/>
          <w:i w:val="false"/>
          <w:color w:val="000000"/>
          <w:sz w:val="28"/>
        </w:rPr>
        <w:t>
</w:t>
      </w:r>
      <w:r>
        <w:rPr>
          <w:rFonts w:ascii="Times New Roman"/>
          <w:b w:val="false"/>
          <w:i w:val="false"/>
          <w:color w:val="000000"/>
          <w:sz w:val="28"/>
        </w:rPr>
        <w:t>
      14) NYSE Liffe;</w:t>
      </w:r>
      <w:r>
        <w:br/>
      </w:r>
      <w:r>
        <w:rPr>
          <w:rFonts w:ascii="Times New Roman"/>
          <w:b w:val="false"/>
          <w:i w:val="false"/>
          <w:color w:val="000000"/>
          <w:sz w:val="28"/>
        </w:rPr>
        <w:t>
</w:t>
      </w:r>
      <w:r>
        <w:rPr>
          <w:rFonts w:ascii="Times New Roman"/>
          <w:b w:val="false"/>
          <w:i w:val="false"/>
          <w:color w:val="000000"/>
          <w:sz w:val="28"/>
        </w:rPr>
        <w:t>
      15) Shanghai Futures Exchange;</w:t>
      </w:r>
      <w:r>
        <w:br/>
      </w:r>
      <w:r>
        <w:rPr>
          <w:rFonts w:ascii="Times New Roman"/>
          <w:b w:val="false"/>
          <w:i w:val="false"/>
          <w:color w:val="000000"/>
          <w:sz w:val="28"/>
        </w:rPr>
        <w:t>
</w:t>
      </w:r>
      <w:r>
        <w:rPr>
          <w:rFonts w:ascii="Times New Roman"/>
          <w:b w:val="false"/>
          <w:i w:val="false"/>
          <w:color w:val="000000"/>
          <w:sz w:val="28"/>
        </w:rPr>
        <w:t>
      16) Singapore Exchange;</w:t>
      </w:r>
      <w:r>
        <w:br/>
      </w:r>
      <w:r>
        <w:rPr>
          <w:rFonts w:ascii="Times New Roman"/>
          <w:b w:val="false"/>
          <w:i w:val="false"/>
          <w:color w:val="000000"/>
          <w:sz w:val="28"/>
        </w:rPr>
        <w:t>
</w:t>
      </w:r>
      <w:r>
        <w:rPr>
          <w:rFonts w:ascii="Times New Roman"/>
          <w:b w:val="false"/>
          <w:i w:val="false"/>
          <w:color w:val="000000"/>
          <w:sz w:val="28"/>
        </w:rPr>
        <w:t>
      17) Tokyo Commodity Exchange;</w:t>
      </w:r>
      <w:r>
        <w:br/>
      </w:r>
      <w:r>
        <w:rPr>
          <w:rFonts w:ascii="Times New Roman"/>
          <w:b w:val="false"/>
          <w:i w:val="false"/>
          <w:color w:val="000000"/>
          <w:sz w:val="28"/>
        </w:rPr>
        <w:t>
</w:t>
      </w:r>
      <w:r>
        <w:rPr>
          <w:rFonts w:ascii="Times New Roman"/>
          <w:b w:val="false"/>
          <w:i w:val="false"/>
          <w:color w:val="000000"/>
          <w:sz w:val="28"/>
        </w:rPr>
        <w:t>
      18) Tokyo Grain Exchange;</w:t>
      </w:r>
      <w:r>
        <w:br/>
      </w:r>
      <w:r>
        <w:rPr>
          <w:rFonts w:ascii="Times New Roman"/>
          <w:b w:val="false"/>
          <w:i w:val="false"/>
          <w:color w:val="000000"/>
          <w:sz w:val="28"/>
        </w:rPr>
        <w:t>
</w:t>
      </w:r>
      <w:r>
        <w:rPr>
          <w:rFonts w:ascii="Times New Roman"/>
          <w:b w:val="false"/>
          <w:i w:val="false"/>
          <w:color w:val="000000"/>
          <w:sz w:val="28"/>
        </w:rPr>
        <w:t>
      19) Zhengzhou Commodity Exchange.</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