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fc86" w14:textId="369f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0 тамыздағы № 6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уданның (облыстық маңызы бар қаланың) жергiлiктi атқарушы органының қолайсыз табиғат құбылысының әсерiне ұшыраған егiстiк алқаптар көлемiн айқындау үшiн комиссия құру және оның жұмысын ұйымдастыру ережесiн және қолайсыз табиғат құбылысы фактiсi бойынша зерттеу актiсiнiң нысанын бекiту туралы» Қазақстан Республикасы Үкіметінің 2006 жылғы 20 қазандағы № 10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9, 43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6 жылғы 20 қазандағы № 1010 қаулысына толықтырулар мен өзгерістер енгізу және Қазақстан Республикасы Үкіметінің кейбір шешімдерінің күші жойылды деп тану  туралы» Қазақстан Республикасы Үкіметінің 2010 жылғы 17 мамырдағы № 4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4, 266-құжат).</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