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cb87" w14:textId="a9ec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"Жарақат салатын патрондармен ату мүмкіндігі бар ұңғысыз атыс қаруын, газды қаруды сақтауға және алып жүруге ішкі істер органдарының тиісті рұқсаты бар жеке тұлғалардың қаруды ерікті түрде өтеулі негізде тапсыру қағидаларын бекіту туралы" Қазақстан Республикасы Үкіметінің 2014 жылғы 29 қазандағы № 1145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4 қыркүйектегі № 741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«Жарақат салатын патрондармен ату мүмкіндігі бар ұңғысыз атыс қаруын, газды қаруды сақтауға және алып жүруге ішкі істер органдарының тиісті рұқсаты бар жеке тұлғалардың қаруды ерікті түрде өтеулі негізде тапсыру қағидаларын бекіту туралы» Қазақстан Республикасы Үкіметінің 2014 жылғы 29 қазандағы № 1145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66, 612-құжат)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Жарақат салатын патрондармен ату мүмкіндігі бар ұңғысыз атыс қаруын, газды қаруды сақтауға және алып жүруге ішкі істер органдарының тиісті рұқсаты бар жеке тұлғалардың қаруды ерікті түрде өтеулі негізде тапсыру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25-тармақпен толықтырылсын:</w:t>
      </w:r>
      <w:r>
        <w:br/>
      </w:r>
      <w:r>
        <w:rPr>
          <w:rFonts w:ascii="Times New Roman"/>
          <w:b w:val="false"/>
          <w:i w:val="false"/>
          <w:color w:val="000000"/>
          <w:sz w:val="28"/>
        </w:rPr>
        <w:t>
</w:t>
      </w:r>
      <w:r>
        <w:rPr>
          <w:rFonts w:ascii="Times New Roman"/>
          <w:b w:val="false"/>
          <w:i w:val="false"/>
          <w:color w:val="000000"/>
          <w:sz w:val="28"/>
        </w:rPr>
        <w:t>
      «25. Жеке тұлға осы Қағидаларға 3-қосымшада атауы көзделмеген, тіркелген қаруды ерікті түрде тапсырған кезде комиссия сыйақы мөлшерін көрсетілген қосымшамен бекітілген қарудың атауы бірдей модельдерінің орташа құны бойынша белгілейді.</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атауы жоқ қару тапсырылған жағдайда, комиссия оның құнын техникалық сипаттамалары осы Қағидаларға 3-қосымшада атауы көрсетілген қарумен ұқсас қарудың құны бойынша айқындайды.»;</w:t>
      </w:r>
      <w:r>
        <w:br/>
      </w:r>
      <w:r>
        <w:rPr>
          <w:rFonts w:ascii="Times New Roman"/>
          <w:b w:val="false"/>
          <w:i w:val="false"/>
          <w:color w:val="000000"/>
          <w:sz w:val="28"/>
        </w:rPr>
        <w:t>
</w:t>
      </w:r>
      <w:r>
        <w:rPr>
          <w:rFonts w:ascii="Times New Roman"/>
          <w:b w:val="false"/>
          <w:i w:val="false"/>
          <w:color w:val="000000"/>
          <w:sz w:val="28"/>
        </w:rPr>
        <w:t>
      көрсетілген Қағидаларға «Ерікті түрде тапсырылған қару үшін сыйақылар мөлшері» деген 3-қосымша:</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79, 80, 81, 82, 83, 84, 85, 86, 87, 88, 89, 90, 91, 92, 93, 94, 95, 96, 97, 98, 99, 100, 101, 102, 103, 104, 105, 106, 107, 108, 109, 110-жолдармен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0395"/>
        <w:gridCol w:w="244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«ROHM RG 88», 10х22Т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«Форт-9Т», Рубер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221250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«ФОРТ-10Т»,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«ФОРТ-14Т»,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«ФОРТ-18Т»,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«ФОРТ-18Р»,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«SHARK» Шарк-906, 9 мм Р.А.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«ПМ-ГТ»,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«ФОРТ-14ТМ», 9 мм Р.А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«ФОРТ-14ТР»,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«Blow mini» Black,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«Blow mini» Nikel,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«Blow mini» Fume,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9120, 9 мм Р.А. Rubber 291921 револьвері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9130, 9 мм Р.А. Rubber 291922 револьвері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STANILESS» 9120, 9 мм Р.А..Rubber 191925 револьвері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STANILESS» 9130.3, 9 мм Р.А..Rubber 191926 револьвері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STANILESS» 9141.3, 9 мм Р.А..Rubber 191945 револьвері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STANILESS» 9120, 9 мм Р.А..Rubber 191920 револьвері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STANILESS» 9130, 9 мм Р.А..Rubber 191921 револьвері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STANILESS» 9141, 9 мм Р.А..Rubber 191922 револьвері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«Mod. «Cief f Cal.380ME Gum»380 MЕ Gum револьвері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 38 Compact,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Walther PPT 10х22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ROHM RG-59,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ROHM RG-89, 9 мм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ZVI-WASP-R</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Carl-Walther РР, 10mm</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 кешені, «ПБ-4»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 кешені, «ПБ-4М»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EKOL FIRAT MAGNUM</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ПДТ-9Т «ЕСАУЛ»</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124950</w:t>
            </w:r>
          </w:p>
        </w:tc>
      </w:tr>
    </w:tbl>
    <w:p>
      <w:pPr>
        <w:spacing w:after="0"/>
        <w:ind w:left="0"/>
        <w:jc w:val="both"/>
      </w:pP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