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65ea" w14:textId="5fe6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«Сот сараптамасының кейбір мәселелері туралы» Қазақстан Республикасы Үкіметінің 2014 жылғы 30 желтоқсандағы № 1403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83-84, 724-құжат)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ғылыми білім құралдарымен қылмыстық, азаматтық істер және әкімшілік құқық бұзушылық туралы істер бойынша сот-медициналық, сот-наркологиялық сараптамаларды ұйымдастыру және жүргізу, сондай-ақ сот-медициналық, сот-наркологиялық сараптамалар мәселелері бойынша ғылыми-зерттеу қызметін жүзеге асыру кәсіпорын қызметінің негізгі нысаны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Сот медицина орталығы» республикалық мемлекеттік қазыналық кәсіпорнының жарғысына өзгерістер енгізсін және оны Қазақстан Республикасы Қаржы министрлігінің Мемлекеттік мүлік және жекешелендіру комитетіне бекітуге берсін, оның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2015 жылғы 1 шілдеден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