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f7db4" w14:textId="57f7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"Рентабельділігі төмен, өте тұтқыр, су басқан, дебеті аз және сарқылған кен орындарының санатына жататын көмірсутек шикізаты кен орындарының (кен орындары тобының, кен орнының бір бөлігінің) тізбесін бекіту туралы" Қазақстан Республикасы Үкіметінің 2014 жылғы 18 маусымдағы № 673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31 қазандағы № 877 қаулысы. Күші жойылды - Қазақстан Республикасы Үкіметінің 2019 жылғы 27 маусымдағы № 449 қаулысымен</w:t>
      </w:r>
    </w:p>
    <w:p>
      <w:pPr>
        <w:spacing w:after="0"/>
        <w:ind w:left="0"/>
        <w:jc w:val="both"/>
      </w:pPr>
      <w:r>
        <w:rPr>
          <w:rFonts w:ascii="Times New Roman"/>
          <w:b w:val="false"/>
          <w:i w:val="false"/>
          <w:color w:val="ff0000"/>
          <w:sz w:val="28"/>
        </w:rPr>
        <w:t xml:space="preserve">
      Ескерту. Күші жойылды – ҚР Үкіметінің 27.06.2019 </w:t>
      </w:r>
      <w:r>
        <w:rPr>
          <w:rFonts w:ascii="Times New Roman"/>
          <w:b w:val="false"/>
          <w:i w:val="false"/>
          <w:color w:val="ff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"Рентабельділігі төмен, өте тұтқыр, су басқан, дебеті аз және сарқылған кен орындарының санатына жататын көмірсутек шикізаты кен орындарының (кен орындары тобының, кен орнының бір бөлігінің) тізбесін бекіту туралы" Қазақстан Республикасы Үкіметінің 2014 жылғы 18 маусымдағы № 673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42, 400-құжат)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рентабельділігі төмен, өте тұтқыр, су басқан, дебеті аз және сарқылған кен орындарының санатына жататын көмірсутек шикізаты кен орындарының (кен орындары тобының, кен орнының бір бөлігінің)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нөмірлері 2 және 3-жолдармен толықтырылсын:</w:t>
      </w:r>
    </w:p>
    <w:bookmarkEnd w:id="2"/>
    <w:bookmarkStart w:name="z4"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
        <w:gridCol w:w="2307"/>
        <w:gridCol w:w="4408"/>
        <w:gridCol w:w="2525"/>
        <w:gridCol w:w="716"/>
        <w:gridCol w:w="129"/>
        <w:gridCol w:w="1181"/>
        <w:gridCol w:w="210"/>
        <w:gridCol w:w="534"/>
      </w:tblGrid>
      <w:tr>
        <w:trPr>
          <w:trHeight w:val="30" w:hRule="atLeast"/>
        </w:trPr>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Мақат ауданындағы Жолдыбай мұнай-газ кен орны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жылғы 15 қарашада тіркелген № 34 Жолдыбай және Жыланқабақ кен орындарында көмірсутегін жете барлауды, игеруді және өндіруді жүргізуге арналған 1995 жылғы 27 қыркүйектегі шарт</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сериялы жер қойнауын пайдалануға арналған 1995 жылғы 7 маусымдағы № 30 (мұнай) лицензия</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"Тандай Петролеум" жауапкершілігі шектеулі серіктестігі</w:t>
            </w:r>
          </w:p>
        </w:tc>
        <w:tc>
          <w:tcPr>
            <w:tcW w:w="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орындарындағы мұнайдың орташа тәуліктік дебеті тәулігіне 3 тоннадан аз мөлшерді құрайды</w:t>
            </w:r>
          </w:p>
        </w:tc>
        <w:tc>
          <w:tcPr>
            <w:tcW w:w="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 аз</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w:t>
            </w:r>
            <w:r>
              <w:rPr>
                <w:rFonts w:ascii="Times New Roman"/>
                <w:b w:val="false"/>
                <w:i w:val="false"/>
                <w:color w:val="000000"/>
                <w:vertAlign w:val="superscript"/>
              </w:rPr>
              <w:t>0</w:t>
            </w:r>
            <w:r>
              <w:rPr>
                <w:rFonts w:ascii="Times New Roman"/>
                <w:b w:val="false"/>
                <w:i w:val="false"/>
                <w:color w:val="000000"/>
                <w:sz w:val="20"/>
              </w:rPr>
              <w:t>42'00"с.е.</w:t>
            </w:r>
          </w:p>
          <w:p>
            <w:pPr>
              <w:spacing w:after="20"/>
              <w:ind w:left="20"/>
              <w:jc w:val="both"/>
            </w:pPr>
            <w:r>
              <w:rPr>
                <w:rFonts w:ascii="Times New Roman"/>
                <w:b w:val="false"/>
                <w:i w:val="false"/>
                <w:color w:val="000000"/>
                <w:sz w:val="20"/>
              </w:rPr>
              <w:t>
53</w:t>
            </w:r>
            <w:r>
              <w:rPr>
                <w:rFonts w:ascii="Times New Roman"/>
                <w:b w:val="false"/>
                <w:i w:val="false"/>
                <w:color w:val="000000"/>
                <w:vertAlign w:val="superscript"/>
              </w:rPr>
              <w:t>0</w:t>
            </w:r>
            <w:r>
              <w:rPr>
                <w:rFonts w:ascii="Times New Roman"/>
                <w:b w:val="false"/>
                <w:i w:val="false"/>
                <w:color w:val="000000"/>
                <w:sz w:val="20"/>
              </w:rPr>
              <w:t>39'06"ш.б.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w:t>
            </w:r>
            <w:r>
              <w:rPr>
                <w:rFonts w:ascii="Times New Roman"/>
                <w:b w:val="false"/>
                <w:i w:val="false"/>
                <w:color w:val="000000"/>
                <w:vertAlign w:val="superscript"/>
              </w:rPr>
              <w:t>0</w:t>
            </w:r>
            <w:r>
              <w:rPr>
                <w:rFonts w:ascii="Times New Roman"/>
                <w:b w:val="false"/>
                <w:i w:val="false"/>
                <w:color w:val="000000"/>
                <w:sz w:val="20"/>
              </w:rPr>
              <w:t>42'16"с.е.</w:t>
            </w:r>
          </w:p>
          <w:p>
            <w:pPr>
              <w:spacing w:after="20"/>
              <w:ind w:left="20"/>
              <w:jc w:val="both"/>
            </w:pPr>
            <w:r>
              <w:rPr>
                <w:rFonts w:ascii="Times New Roman"/>
                <w:b w:val="false"/>
                <w:i w:val="false"/>
                <w:color w:val="000000"/>
                <w:sz w:val="20"/>
              </w:rPr>
              <w:t>
53</w:t>
            </w:r>
            <w:r>
              <w:rPr>
                <w:rFonts w:ascii="Times New Roman"/>
                <w:b w:val="false"/>
                <w:i w:val="false"/>
                <w:color w:val="000000"/>
                <w:vertAlign w:val="superscript"/>
              </w:rPr>
              <w:t>0</w:t>
            </w:r>
            <w:r>
              <w:rPr>
                <w:rFonts w:ascii="Times New Roman"/>
                <w:b w:val="false"/>
                <w:i w:val="false"/>
                <w:color w:val="000000"/>
                <w:sz w:val="20"/>
              </w:rPr>
              <w:t>38'48"ш.б.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w:t>
            </w:r>
            <w:r>
              <w:rPr>
                <w:rFonts w:ascii="Times New Roman"/>
                <w:b w:val="false"/>
                <w:i w:val="false"/>
                <w:color w:val="000000"/>
                <w:vertAlign w:val="superscript"/>
              </w:rPr>
              <w:t>0</w:t>
            </w:r>
            <w:r>
              <w:rPr>
                <w:rFonts w:ascii="Times New Roman"/>
                <w:b w:val="false"/>
                <w:i w:val="false"/>
                <w:color w:val="000000"/>
                <w:sz w:val="20"/>
              </w:rPr>
              <w:t>42'46"с.е.</w:t>
            </w:r>
          </w:p>
          <w:p>
            <w:pPr>
              <w:spacing w:after="20"/>
              <w:ind w:left="20"/>
              <w:jc w:val="both"/>
            </w:pPr>
            <w:r>
              <w:rPr>
                <w:rFonts w:ascii="Times New Roman"/>
                <w:b w:val="false"/>
                <w:i w:val="false"/>
                <w:color w:val="000000"/>
                <w:sz w:val="20"/>
              </w:rPr>
              <w:t>
53</w:t>
            </w:r>
            <w:r>
              <w:rPr>
                <w:rFonts w:ascii="Times New Roman"/>
                <w:b w:val="false"/>
                <w:i w:val="false"/>
                <w:color w:val="000000"/>
                <w:vertAlign w:val="superscript"/>
              </w:rPr>
              <w:t>0</w:t>
            </w:r>
            <w:r>
              <w:rPr>
                <w:rFonts w:ascii="Times New Roman"/>
                <w:b w:val="false"/>
                <w:i w:val="false"/>
                <w:color w:val="000000"/>
                <w:sz w:val="20"/>
              </w:rPr>
              <w:t>38'17"ш.б.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w:t>
            </w:r>
            <w:r>
              <w:rPr>
                <w:rFonts w:ascii="Times New Roman"/>
                <w:b w:val="false"/>
                <w:i w:val="false"/>
                <w:color w:val="000000"/>
                <w:vertAlign w:val="superscript"/>
              </w:rPr>
              <w:t>0</w:t>
            </w:r>
            <w:r>
              <w:rPr>
                <w:rFonts w:ascii="Times New Roman"/>
                <w:b w:val="false"/>
                <w:i w:val="false"/>
                <w:color w:val="000000"/>
                <w:sz w:val="20"/>
              </w:rPr>
              <w:t>42'52"с.е.</w:t>
            </w:r>
          </w:p>
          <w:p>
            <w:pPr>
              <w:spacing w:after="20"/>
              <w:ind w:left="20"/>
              <w:jc w:val="both"/>
            </w:pPr>
            <w:r>
              <w:rPr>
                <w:rFonts w:ascii="Times New Roman"/>
                <w:b w:val="false"/>
                <w:i w:val="false"/>
                <w:color w:val="000000"/>
                <w:sz w:val="20"/>
              </w:rPr>
              <w:t>
53</w:t>
            </w:r>
            <w:r>
              <w:rPr>
                <w:rFonts w:ascii="Times New Roman"/>
                <w:b w:val="false"/>
                <w:i w:val="false"/>
                <w:color w:val="000000"/>
                <w:vertAlign w:val="superscript"/>
              </w:rPr>
              <w:t>0</w:t>
            </w:r>
            <w:r>
              <w:rPr>
                <w:rFonts w:ascii="Times New Roman"/>
                <w:b w:val="false"/>
                <w:i w:val="false"/>
                <w:color w:val="000000"/>
                <w:sz w:val="20"/>
              </w:rPr>
              <w:t>39'00"ш.б.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w:t>
            </w:r>
            <w:r>
              <w:rPr>
                <w:rFonts w:ascii="Times New Roman"/>
                <w:b w:val="false"/>
                <w:i w:val="false"/>
                <w:color w:val="000000"/>
                <w:vertAlign w:val="superscript"/>
              </w:rPr>
              <w:t>0</w:t>
            </w:r>
            <w:r>
              <w:rPr>
                <w:rFonts w:ascii="Times New Roman"/>
                <w:b w:val="false"/>
                <w:i w:val="false"/>
                <w:color w:val="000000"/>
                <w:sz w:val="20"/>
              </w:rPr>
              <w:t>42'11"с.е.</w:t>
            </w:r>
          </w:p>
          <w:p>
            <w:pPr>
              <w:spacing w:after="20"/>
              <w:ind w:left="20"/>
              <w:jc w:val="both"/>
            </w:pPr>
            <w:r>
              <w:rPr>
                <w:rFonts w:ascii="Times New Roman"/>
                <w:b w:val="false"/>
                <w:i w:val="false"/>
                <w:color w:val="000000"/>
                <w:sz w:val="20"/>
              </w:rPr>
              <w:t>
53</w:t>
            </w:r>
            <w:r>
              <w:rPr>
                <w:rFonts w:ascii="Times New Roman"/>
                <w:b w:val="false"/>
                <w:i w:val="false"/>
                <w:color w:val="000000"/>
                <w:vertAlign w:val="superscript"/>
              </w:rPr>
              <w:t>0</w:t>
            </w:r>
            <w:r>
              <w:rPr>
                <w:rFonts w:ascii="Times New Roman"/>
                <w:b w:val="false"/>
                <w:i w:val="false"/>
                <w:color w:val="000000"/>
                <w:sz w:val="20"/>
              </w:rPr>
              <w:t>39'57"ш.б.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w:t>
            </w:r>
            <w:r>
              <w:rPr>
                <w:rFonts w:ascii="Times New Roman"/>
                <w:b w:val="false"/>
                <w:i w:val="false"/>
                <w:color w:val="000000"/>
                <w:vertAlign w:val="superscript"/>
              </w:rPr>
              <w:t>0</w:t>
            </w:r>
            <w:r>
              <w:rPr>
                <w:rFonts w:ascii="Times New Roman"/>
                <w:b w:val="false"/>
                <w:i w:val="false"/>
                <w:color w:val="000000"/>
                <w:sz w:val="20"/>
              </w:rPr>
              <w:t>42'03"с.е.</w:t>
            </w:r>
          </w:p>
          <w:p>
            <w:pPr>
              <w:spacing w:after="20"/>
              <w:ind w:left="20"/>
              <w:jc w:val="both"/>
            </w:pPr>
            <w:r>
              <w:rPr>
                <w:rFonts w:ascii="Times New Roman"/>
                <w:b w:val="false"/>
                <w:i w:val="false"/>
                <w:color w:val="000000"/>
                <w:sz w:val="20"/>
              </w:rPr>
              <w:t>
53</w:t>
            </w:r>
            <w:r>
              <w:rPr>
                <w:rFonts w:ascii="Times New Roman"/>
                <w:b w:val="false"/>
                <w:i w:val="false"/>
                <w:color w:val="000000"/>
                <w:vertAlign w:val="superscript"/>
              </w:rPr>
              <w:t>0</w:t>
            </w:r>
            <w:r>
              <w:rPr>
                <w:rFonts w:ascii="Times New Roman"/>
                <w:b w:val="false"/>
                <w:i w:val="false"/>
                <w:color w:val="000000"/>
                <w:sz w:val="20"/>
              </w:rPr>
              <w:t>40'09"ш.б.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w:t>
            </w:r>
            <w:r>
              <w:rPr>
                <w:rFonts w:ascii="Times New Roman"/>
                <w:b w:val="false"/>
                <w:i w:val="false"/>
                <w:color w:val="000000"/>
                <w:vertAlign w:val="superscript"/>
              </w:rPr>
              <w:t>0</w:t>
            </w:r>
            <w:r>
              <w:rPr>
                <w:rFonts w:ascii="Times New Roman"/>
                <w:b w:val="false"/>
                <w:i w:val="false"/>
                <w:color w:val="000000"/>
                <w:sz w:val="20"/>
              </w:rPr>
              <w:t>41'56"с.е.</w:t>
            </w:r>
          </w:p>
          <w:p>
            <w:pPr>
              <w:spacing w:after="20"/>
              <w:ind w:left="20"/>
              <w:jc w:val="both"/>
            </w:pPr>
            <w:r>
              <w:rPr>
                <w:rFonts w:ascii="Times New Roman"/>
                <w:b w:val="false"/>
                <w:i w:val="false"/>
                <w:color w:val="000000"/>
                <w:sz w:val="20"/>
              </w:rPr>
              <w:t>
53</w:t>
            </w:r>
            <w:r>
              <w:rPr>
                <w:rFonts w:ascii="Times New Roman"/>
                <w:b w:val="false"/>
                <w:i w:val="false"/>
                <w:color w:val="000000"/>
                <w:vertAlign w:val="superscript"/>
              </w:rPr>
              <w:t>0</w:t>
            </w:r>
            <w:r>
              <w:rPr>
                <w:rFonts w:ascii="Times New Roman"/>
                <w:b w:val="false"/>
                <w:i w:val="false"/>
                <w:color w:val="000000"/>
                <w:sz w:val="20"/>
              </w:rPr>
              <w:t>39'49"ш.б.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Жылыой ауданындағы Жыланқабақ мұнай кен орны</w:t>
            </w:r>
          </w:p>
        </w:tc>
        <w:tc>
          <w:tcPr>
            <w:tcW w:w="4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жылғы 15 қарашада тіркелген № 34 Жолдыбай және Жыланқабақ кен орындарында көмірсутегін жете барлауды, игеруді және өндіруді жүргізуге арналған 1995 жылғы 27 қыркүйектегі шарт</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МГ сериялы жер қойнауын пайдалануға арналған </w:t>
            </w:r>
          </w:p>
          <w:p>
            <w:pPr>
              <w:spacing w:after="20"/>
              <w:ind w:left="20"/>
              <w:jc w:val="both"/>
            </w:pPr>
            <w:r>
              <w:rPr>
                <w:rFonts w:ascii="Times New Roman"/>
                <w:b w:val="false"/>
                <w:i w:val="false"/>
                <w:color w:val="000000"/>
                <w:sz w:val="20"/>
              </w:rPr>
              <w:t>
1995 жылғы 7 маусымдағы № 29 (мұнай) лицензия</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"Тандай Петролеум" жауапкершілігі шектеулі серіктестігі</w:t>
            </w:r>
          </w:p>
        </w:tc>
        <w:tc>
          <w:tcPr>
            <w:tcW w:w="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орындарындағы мұнайдың орташа тәуліктік дебеті тәулігіне 3 тоннадан аз мөлшерді құрайды</w:t>
            </w:r>
          </w:p>
        </w:tc>
        <w:tc>
          <w:tcPr>
            <w:tcW w:w="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 аз</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w:t>
            </w:r>
            <w:r>
              <w:rPr>
                <w:rFonts w:ascii="Times New Roman"/>
                <w:b w:val="false"/>
                <w:i w:val="false"/>
                <w:color w:val="000000"/>
                <w:vertAlign w:val="superscript"/>
              </w:rPr>
              <w:t>0</w:t>
            </w:r>
            <w:r>
              <w:rPr>
                <w:rFonts w:ascii="Times New Roman"/>
                <w:b w:val="false"/>
                <w:i w:val="false"/>
                <w:color w:val="000000"/>
                <w:sz w:val="20"/>
              </w:rPr>
              <w:t>37'17,6"с.е.</w:t>
            </w:r>
          </w:p>
          <w:p>
            <w:pPr>
              <w:spacing w:after="20"/>
              <w:ind w:left="20"/>
              <w:jc w:val="both"/>
            </w:pPr>
            <w:r>
              <w:rPr>
                <w:rFonts w:ascii="Times New Roman"/>
                <w:b w:val="false"/>
                <w:i w:val="false"/>
                <w:color w:val="000000"/>
                <w:sz w:val="20"/>
              </w:rPr>
              <w:t>
54</w:t>
            </w:r>
            <w:r>
              <w:rPr>
                <w:rFonts w:ascii="Times New Roman"/>
                <w:b w:val="false"/>
                <w:i w:val="false"/>
                <w:color w:val="000000"/>
                <w:vertAlign w:val="superscript"/>
              </w:rPr>
              <w:t>0</w:t>
            </w:r>
            <w:r>
              <w:rPr>
                <w:rFonts w:ascii="Times New Roman"/>
                <w:b w:val="false"/>
                <w:i w:val="false"/>
                <w:color w:val="000000"/>
                <w:sz w:val="20"/>
              </w:rPr>
              <w:t>25'05"ш.б.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w:t>
            </w:r>
            <w:r>
              <w:rPr>
                <w:rFonts w:ascii="Times New Roman"/>
                <w:b w:val="false"/>
                <w:i w:val="false"/>
                <w:color w:val="000000"/>
                <w:vertAlign w:val="superscript"/>
              </w:rPr>
              <w:t>0</w:t>
            </w:r>
            <w:r>
              <w:rPr>
                <w:rFonts w:ascii="Times New Roman"/>
                <w:b w:val="false"/>
                <w:i w:val="false"/>
                <w:color w:val="000000"/>
                <w:sz w:val="20"/>
              </w:rPr>
              <w:t>37'20,7"с.е.</w:t>
            </w:r>
          </w:p>
          <w:p>
            <w:pPr>
              <w:spacing w:after="20"/>
              <w:ind w:left="20"/>
              <w:jc w:val="both"/>
            </w:pPr>
            <w:r>
              <w:rPr>
                <w:rFonts w:ascii="Times New Roman"/>
                <w:b w:val="false"/>
                <w:i w:val="false"/>
                <w:color w:val="000000"/>
                <w:sz w:val="20"/>
              </w:rPr>
              <w:t>
54</w:t>
            </w:r>
            <w:r>
              <w:rPr>
                <w:rFonts w:ascii="Times New Roman"/>
                <w:b w:val="false"/>
                <w:i w:val="false"/>
                <w:color w:val="000000"/>
                <w:vertAlign w:val="superscript"/>
              </w:rPr>
              <w:t>0</w:t>
            </w:r>
            <w:r>
              <w:rPr>
                <w:rFonts w:ascii="Times New Roman"/>
                <w:b w:val="false"/>
                <w:i w:val="false"/>
                <w:color w:val="000000"/>
                <w:sz w:val="20"/>
              </w:rPr>
              <w:t>26'03"ш.б.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w:t>
            </w:r>
            <w:r>
              <w:rPr>
                <w:rFonts w:ascii="Times New Roman"/>
                <w:b w:val="false"/>
                <w:i w:val="false"/>
                <w:color w:val="000000"/>
                <w:vertAlign w:val="superscript"/>
              </w:rPr>
              <w:t>0</w:t>
            </w:r>
            <w:r>
              <w:rPr>
                <w:rFonts w:ascii="Times New Roman"/>
                <w:b w:val="false"/>
                <w:i w:val="false"/>
                <w:color w:val="000000"/>
                <w:sz w:val="20"/>
              </w:rPr>
              <w:t>37'23,1"с.е.</w:t>
            </w:r>
          </w:p>
          <w:p>
            <w:pPr>
              <w:spacing w:after="20"/>
              <w:ind w:left="20"/>
              <w:jc w:val="both"/>
            </w:pPr>
            <w:r>
              <w:rPr>
                <w:rFonts w:ascii="Times New Roman"/>
                <w:b w:val="false"/>
                <w:i w:val="false"/>
                <w:color w:val="000000"/>
                <w:sz w:val="20"/>
              </w:rPr>
              <w:t>
54</w:t>
            </w:r>
            <w:r>
              <w:rPr>
                <w:rFonts w:ascii="Times New Roman"/>
                <w:b w:val="false"/>
                <w:i w:val="false"/>
                <w:color w:val="000000"/>
                <w:vertAlign w:val="superscript"/>
              </w:rPr>
              <w:t>0</w:t>
            </w:r>
            <w:r>
              <w:rPr>
                <w:rFonts w:ascii="Times New Roman"/>
                <w:b w:val="false"/>
                <w:i w:val="false"/>
                <w:color w:val="000000"/>
                <w:sz w:val="20"/>
              </w:rPr>
              <w:t>26'03"ш.б.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w:t>
            </w:r>
            <w:r>
              <w:rPr>
                <w:rFonts w:ascii="Times New Roman"/>
                <w:b w:val="false"/>
                <w:i w:val="false"/>
                <w:color w:val="000000"/>
                <w:vertAlign w:val="superscript"/>
              </w:rPr>
              <w:t>0</w:t>
            </w:r>
            <w:r>
              <w:rPr>
                <w:rFonts w:ascii="Times New Roman"/>
                <w:b w:val="false"/>
                <w:i w:val="false"/>
                <w:color w:val="000000"/>
                <w:sz w:val="20"/>
              </w:rPr>
              <w:t>37'33,3"с.е.</w:t>
            </w:r>
          </w:p>
          <w:p>
            <w:pPr>
              <w:spacing w:after="20"/>
              <w:ind w:left="20"/>
              <w:jc w:val="both"/>
            </w:pPr>
            <w:r>
              <w:rPr>
                <w:rFonts w:ascii="Times New Roman"/>
                <w:b w:val="false"/>
                <w:i w:val="false"/>
                <w:color w:val="000000"/>
                <w:sz w:val="20"/>
              </w:rPr>
              <w:t>
54</w:t>
            </w:r>
            <w:r>
              <w:rPr>
                <w:rFonts w:ascii="Times New Roman"/>
                <w:b w:val="false"/>
                <w:i w:val="false"/>
                <w:color w:val="000000"/>
                <w:vertAlign w:val="superscript"/>
              </w:rPr>
              <w:t>0</w:t>
            </w:r>
            <w:r>
              <w:rPr>
                <w:rFonts w:ascii="Times New Roman"/>
                <w:b w:val="false"/>
                <w:i w:val="false"/>
                <w:color w:val="000000"/>
                <w:sz w:val="20"/>
              </w:rPr>
              <w:t>27'07,8"ш.б.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w:t>
            </w:r>
            <w:r>
              <w:rPr>
                <w:rFonts w:ascii="Times New Roman"/>
                <w:b w:val="false"/>
                <w:i w:val="false"/>
                <w:color w:val="000000"/>
                <w:vertAlign w:val="superscript"/>
              </w:rPr>
              <w:t>0</w:t>
            </w:r>
            <w:r>
              <w:rPr>
                <w:rFonts w:ascii="Times New Roman"/>
                <w:b w:val="false"/>
                <w:i w:val="false"/>
                <w:color w:val="000000"/>
                <w:sz w:val="20"/>
              </w:rPr>
              <w:t>37'00,0"с.е.</w:t>
            </w:r>
          </w:p>
          <w:p>
            <w:pPr>
              <w:spacing w:after="20"/>
              <w:ind w:left="20"/>
              <w:jc w:val="both"/>
            </w:pPr>
            <w:r>
              <w:rPr>
                <w:rFonts w:ascii="Times New Roman"/>
                <w:b w:val="false"/>
                <w:i w:val="false"/>
                <w:color w:val="000000"/>
                <w:sz w:val="20"/>
              </w:rPr>
              <w:t>
54</w:t>
            </w:r>
            <w:r>
              <w:rPr>
                <w:rFonts w:ascii="Times New Roman"/>
                <w:b w:val="false"/>
                <w:i w:val="false"/>
                <w:color w:val="000000"/>
                <w:vertAlign w:val="superscript"/>
              </w:rPr>
              <w:t>0</w:t>
            </w:r>
            <w:r>
              <w:rPr>
                <w:rFonts w:ascii="Times New Roman"/>
                <w:b w:val="false"/>
                <w:i w:val="false"/>
                <w:color w:val="000000"/>
                <w:sz w:val="20"/>
              </w:rPr>
              <w:t>26'26,6"ш.б.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w:t>
            </w:r>
            <w:r>
              <w:rPr>
                <w:rFonts w:ascii="Times New Roman"/>
                <w:b w:val="false"/>
                <w:i w:val="false"/>
                <w:color w:val="000000"/>
                <w:vertAlign w:val="superscript"/>
              </w:rPr>
              <w:t>0</w:t>
            </w:r>
            <w:r>
              <w:rPr>
                <w:rFonts w:ascii="Times New Roman"/>
                <w:b w:val="false"/>
                <w:i w:val="false"/>
                <w:color w:val="000000"/>
                <w:sz w:val="20"/>
              </w:rPr>
              <w:t>36'43,5"с.е.</w:t>
            </w:r>
          </w:p>
          <w:p>
            <w:pPr>
              <w:spacing w:after="20"/>
              <w:ind w:left="20"/>
              <w:jc w:val="both"/>
            </w:pPr>
            <w:r>
              <w:rPr>
                <w:rFonts w:ascii="Times New Roman"/>
                <w:b w:val="false"/>
                <w:i w:val="false"/>
                <w:color w:val="000000"/>
                <w:sz w:val="20"/>
              </w:rPr>
              <w:t>
54</w:t>
            </w:r>
            <w:r>
              <w:rPr>
                <w:rFonts w:ascii="Times New Roman"/>
                <w:b w:val="false"/>
                <w:i w:val="false"/>
                <w:color w:val="000000"/>
                <w:vertAlign w:val="superscript"/>
              </w:rPr>
              <w:t>0</w:t>
            </w:r>
            <w:r>
              <w:rPr>
                <w:rFonts w:ascii="Times New Roman"/>
                <w:b w:val="false"/>
                <w:i w:val="false"/>
                <w:color w:val="000000"/>
                <w:sz w:val="20"/>
              </w:rPr>
              <w:t>25'50,1"ш.б.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w:t>
            </w:r>
            <w:r>
              <w:rPr>
                <w:rFonts w:ascii="Times New Roman"/>
                <w:b w:val="false"/>
                <w:i w:val="false"/>
                <w:color w:val="000000"/>
                <w:vertAlign w:val="superscript"/>
              </w:rPr>
              <w:t>0</w:t>
            </w:r>
            <w:r>
              <w:rPr>
                <w:rFonts w:ascii="Times New Roman"/>
                <w:b w:val="false"/>
                <w:i w:val="false"/>
                <w:color w:val="000000"/>
                <w:sz w:val="20"/>
              </w:rPr>
              <w:t>36'38,2"с.е.</w:t>
            </w:r>
          </w:p>
          <w:p>
            <w:pPr>
              <w:spacing w:after="20"/>
              <w:ind w:left="20"/>
              <w:jc w:val="both"/>
            </w:pPr>
            <w:r>
              <w:rPr>
                <w:rFonts w:ascii="Times New Roman"/>
                <w:b w:val="false"/>
                <w:i w:val="false"/>
                <w:color w:val="000000"/>
                <w:sz w:val="20"/>
              </w:rPr>
              <w:t>
54</w:t>
            </w:r>
            <w:r>
              <w:rPr>
                <w:rFonts w:ascii="Times New Roman"/>
                <w:b w:val="false"/>
                <w:i w:val="false"/>
                <w:color w:val="000000"/>
                <w:vertAlign w:val="superscript"/>
              </w:rPr>
              <w:t>0</w:t>
            </w:r>
            <w:r>
              <w:rPr>
                <w:rFonts w:ascii="Times New Roman"/>
                <w:b w:val="false"/>
                <w:i w:val="false"/>
                <w:color w:val="000000"/>
                <w:sz w:val="20"/>
              </w:rPr>
              <w:t>25'27,6"ш.б.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w:t>
            </w:r>
            <w:r>
              <w:rPr>
                <w:rFonts w:ascii="Times New Roman"/>
                <w:b w:val="false"/>
                <w:i w:val="false"/>
                <w:color w:val="000000"/>
                <w:vertAlign w:val="superscript"/>
              </w:rPr>
              <w:t>0</w:t>
            </w:r>
            <w:r>
              <w:rPr>
                <w:rFonts w:ascii="Times New Roman"/>
                <w:b w:val="false"/>
                <w:i w:val="false"/>
                <w:color w:val="000000"/>
                <w:sz w:val="20"/>
              </w:rPr>
              <w:t>36'33,3"с.е.</w:t>
            </w:r>
          </w:p>
          <w:p>
            <w:pPr>
              <w:spacing w:after="20"/>
              <w:ind w:left="20"/>
              <w:jc w:val="both"/>
            </w:pPr>
            <w:r>
              <w:rPr>
                <w:rFonts w:ascii="Times New Roman"/>
                <w:b w:val="false"/>
                <w:i w:val="false"/>
                <w:color w:val="000000"/>
                <w:sz w:val="20"/>
              </w:rPr>
              <w:t>
54</w:t>
            </w:r>
            <w:r>
              <w:rPr>
                <w:rFonts w:ascii="Times New Roman"/>
                <w:b w:val="false"/>
                <w:i w:val="false"/>
                <w:color w:val="000000"/>
                <w:vertAlign w:val="superscript"/>
              </w:rPr>
              <w:t>0</w:t>
            </w:r>
            <w:r>
              <w:rPr>
                <w:rFonts w:ascii="Times New Roman"/>
                <w:b w:val="false"/>
                <w:i w:val="false"/>
                <w:color w:val="000000"/>
                <w:sz w:val="20"/>
              </w:rPr>
              <w:t>24'42,8"ш.б.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w:t>
            </w:r>
            <w:r>
              <w:rPr>
                <w:rFonts w:ascii="Times New Roman"/>
                <w:b w:val="false"/>
                <w:i w:val="false"/>
                <w:color w:val="000000"/>
                <w:vertAlign w:val="superscript"/>
              </w:rPr>
              <w:t>0</w:t>
            </w:r>
            <w:r>
              <w:rPr>
                <w:rFonts w:ascii="Times New Roman"/>
                <w:b w:val="false"/>
                <w:i w:val="false"/>
                <w:color w:val="000000"/>
                <w:sz w:val="20"/>
              </w:rPr>
              <w:t>36'46,0"с.е.</w:t>
            </w:r>
          </w:p>
          <w:p>
            <w:pPr>
              <w:spacing w:after="20"/>
              <w:ind w:left="20"/>
              <w:jc w:val="both"/>
            </w:pPr>
            <w:r>
              <w:rPr>
                <w:rFonts w:ascii="Times New Roman"/>
                <w:b w:val="false"/>
                <w:i w:val="false"/>
                <w:color w:val="000000"/>
                <w:sz w:val="20"/>
              </w:rPr>
              <w:t>
54</w:t>
            </w:r>
            <w:r>
              <w:rPr>
                <w:rFonts w:ascii="Times New Roman"/>
                <w:b w:val="false"/>
                <w:i w:val="false"/>
                <w:color w:val="000000"/>
                <w:vertAlign w:val="superscript"/>
              </w:rPr>
              <w:t>0</w:t>
            </w:r>
            <w:r>
              <w:rPr>
                <w:rFonts w:ascii="Times New Roman"/>
                <w:b w:val="false"/>
                <w:i w:val="false"/>
                <w:color w:val="000000"/>
                <w:sz w:val="20"/>
              </w:rPr>
              <w:t>24'50,8"ш.б.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w:t>
            </w:r>
            <w:r>
              <w:rPr>
                <w:rFonts w:ascii="Times New Roman"/>
                <w:b w:val="false"/>
                <w:i w:val="false"/>
                <w:color w:val="000000"/>
                <w:vertAlign w:val="superscript"/>
              </w:rPr>
              <w:t>0</w:t>
            </w:r>
            <w:r>
              <w:rPr>
                <w:rFonts w:ascii="Times New Roman"/>
                <w:b w:val="false"/>
                <w:i w:val="false"/>
                <w:color w:val="000000"/>
                <w:sz w:val="20"/>
              </w:rPr>
              <w:t>36'45,0"с.е.</w:t>
            </w:r>
          </w:p>
          <w:p>
            <w:pPr>
              <w:spacing w:after="20"/>
              <w:ind w:left="20"/>
              <w:jc w:val="both"/>
            </w:pPr>
            <w:r>
              <w:rPr>
                <w:rFonts w:ascii="Times New Roman"/>
                <w:b w:val="false"/>
                <w:i w:val="false"/>
                <w:color w:val="000000"/>
                <w:sz w:val="20"/>
              </w:rPr>
              <w:t>
54</w:t>
            </w:r>
            <w:r>
              <w:rPr>
                <w:rFonts w:ascii="Times New Roman"/>
                <w:b w:val="false"/>
                <w:i w:val="false"/>
                <w:color w:val="000000"/>
                <w:vertAlign w:val="superscript"/>
              </w:rPr>
              <w:t>0</w:t>
            </w:r>
            <w:r>
              <w:rPr>
                <w:rFonts w:ascii="Times New Roman"/>
                <w:b w:val="false"/>
                <w:i w:val="false"/>
                <w:color w:val="000000"/>
                <w:sz w:val="20"/>
              </w:rPr>
              <w:t>24'38,6"ш.б.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w:t>
            </w:r>
            <w:r>
              <w:rPr>
                <w:rFonts w:ascii="Times New Roman"/>
                <w:b w:val="false"/>
                <w:i w:val="false"/>
                <w:color w:val="000000"/>
                <w:vertAlign w:val="superscript"/>
              </w:rPr>
              <w:t>0</w:t>
            </w:r>
            <w:r>
              <w:rPr>
                <w:rFonts w:ascii="Times New Roman"/>
                <w:b w:val="false"/>
                <w:i w:val="false"/>
                <w:color w:val="000000"/>
                <w:sz w:val="20"/>
              </w:rPr>
              <w:t>36'48,0"с.е.</w:t>
            </w:r>
          </w:p>
          <w:p>
            <w:pPr>
              <w:spacing w:after="20"/>
              <w:ind w:left="20"/>
              <w:jc w:val="both"/>
            </w:pPr>
            <w:r>
              <w:rPr>
                <w:rFonts w:ascii="Times New Roman"/>
                <w:b w:val="false"/>
                <w:i w:val="false"/>
                <w:color w:val="000000"/>
                <w:sz w:val="20"/>
              </w:rPr>
              <w:t>
54</w:t>
            </w:r>
            <w:r>
              <w:rPr>
                <w:rFonts w:ascii="Times New Roman"/>
                <w:b w:val="false"/>
                <w:i w:val="false"/>
                <w:color w:val="000000"/>
                <w:vertAlign w:val="superscript"/>
              </w:rPr>
              <w:t>0</w:t>
            </w:r>
            <w:r>
              <w:rPr>
                <w:rFonts w:ascii="Times New Roman"/>
                <w:b w:val="false"/>
                <w:i w:val="false"/>
                <w:color w:val="000000"/>
                <w:sz w:val="20"/>
              </w:rPr>
              <w:t>24'21,8"ш.б.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w:t>
            </w:r>
            <w:r>
              <w:rPr>
                <w:rFonts w:ascii="Times New Roman"/>
                <w:b w:val="false"/>
                <w:i w:val="false"/>
                <w:color w:val="000000"/>
                <w:vertAlign w:val="superscript"/>
              </w:rPr>
              <w:t>0</w:t>
            </w:r>
            <w:r>
              <w:rPr>
                <w:rFonts w:ascii="Times New Roman"/>
                <w:b w:val="false"/>
                <w:i w:val="false"/>
                <w:color w:val="000000"/>
                <w:sz w:val="20"/>
              </w:rPr>
              <w:t>37'02,2"с.е.</w:t>
            </w:r>
          </w:p>
          <w:p>
            <w:pPr>
              <w:spacing w:after="20"/>
              <w:ind w:left="20"/>
              <w:jc w:val="both"/>
            </w:pPr>
            <w:r>
              <w:rPr>
                <w:rFonts w:ascii="Times New Roman"/>
                <w:b w:val="false"/>
                <w:i w:val="false"/>
                <w:color w:val="000000"/>
                <w:sz w:val="20"/>
              </w:rPr>
              <w:t>
54</w:t>
            </w:r>
            <w:r>
              <w:rPr>
                <w:rFonts w:ascii="Times New Roman"/>
                <w:b w:val="false"/>
                <w:i w:val="false"/>
                <w:color w:val="000000"/>
                <w:vertAlign w:val="superscript"/>
              </w:rPr>
              <w:t>0</w:t>
            </w:r>
            <w:r>
              <w:rPr>
                <w:rFonts w:ascii="Times New Roman"/>
                <w:b w:val="false"/>
                <w:i w:val="false"/>
                <w:color w:val="000000"/>
                <w:sz w:val="20"/>
              </w:rPr>
              <w:t>24'28,3"ш.б.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w:t>
            </w:r>
            <w:r>
              <w:rPr>
                <w:rFonts w:ascii="Times New Roman"/>
                <w:b w:val="false"/>
                <w:i w:val="false"/>
                <w:color w:val="000000"/>
                <w:vertAlign w:val="superscript"/>
              </w:rPr>
              <w:t>0</w:t>
            </w:r>
            <w:r>
              <w:rPr>
                <w:rFonts w:ascii="Times New Roman"/>
                <w:b w:val="false"/>
                <w:i w:val="false"/>
                <w:color w:val="000000"/>
                <w:sz w:val="20"/>
              </w:rPr>
              <w:t>37'08,5"с.е.</w:t>
            </w:r>
          </w:p>
          <w:p>
            <w:pPr>
              <w:spacing w:after="20"/>
              <w:ind w:left="20"/>
              <w:jc w:val="both"/>
            </w:pPr>
            <w:r>
              <w:rPr>
                <w:rFonts w:ascii="Times New Roman"/>
                <w:b w:val="false"/>
                <w:i w:val="false"/>
                <w:color w:val="000000"/>
                <w:sz w:val="20"/>
              </w:rPr>
              <w:t>
54</w:t>
            </w:r>
            <w:r>
              <w:rPr>
                <w:rFonts w:ascii="Times New Roman"/>
                <w:b w:val="false"/>
                <w:i w:val="false"/>
                <w:color w:val="000000"/>
                <w:vertAlign w:val="superscript"/>
              </w:rPr>
              <w:t>0</w:t>
            </w:r>
            <w:r>
              <w:rPr>
                <w:rFonts w:ascii="Times New Roman"/>
                <w:b w:val="false"/>
                <w:i w:val="false"/>
                <w:color w:val="000000"/>
                <w:sz w:val="20"/>
              </w:rPr>
              <w:t>24'37,1"ш.б.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