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aa41" w14:textId="988a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Бірлескен барлау мен өндіруге арналған келісімшарттар жасасу туралы</w:t>
      </w:r>
    </w:p>
    <w:p>
      <w:pPr>
        <w:spacing w:after="0"/>
        <w:ind w:left="0"/>
        <w:jc w:val="both"/>
      </w:pPr>
      <w:r>
        <w:rPr>
          <w:rFonts w:ascii="Times New Roman"/>
          <w:b w:val="false"/>
          <w:i w:val="false"/>
          <w:color w:val="000000"/>
          <w:sz w:val="28"/>
        </w:rPr>
        <w:t>Қазақстан Республикасы Үкіметінің 2016 жылғы 18 ақпандағы № 77 қаулысы</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2010 жылғы </w:t>
      </w:r>
      <w:r>
        <w:br/>
      </w:r>
      <w:r>
        <w:rPr>
          <w:rFonts w:ascii="Times New Roman"/>
          <w:b w:val="false"/>
          <w:i w:val="false"/>
          <w:color w:val="000000"/>
          <w:sz w:val="28"/>
        </w:rPr>
        <w:t>
24 маусымдағы Қазақстан Республикасының Заңы 61-бабының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 заңнамада белгіленген тәртіппен осы қаулыға қосымшаға сәйкес Маңғыстау, Атырау және Ақтөбе облыстарында орналасқан Қосбұлақ жер қойнауы учаскесінде және Маңғыстау облысында орналасқан блоктар шегіндегі жер қойнауы учаскесінде көмірсутек шикізатын бірлесіп барлау мен өндіруге арналған келісімшарттар жасассын.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18 ақпандағы </w:t>
      </w:r>
      <w:r>
        <w:br/>
      </w:r>
      <w:r>
        <w:rPr>
          <w:rFonts w:ascii="Times New Roman"/>
          <w:b w:val="false"/>
          <w:i w:val="false"/>
          <w:color w:val="000000"/>
          <w:sz w:val="28"/>
        </w:rPr>
        <w:t xml:space="preserve">
№ 77 қаулысына     </w:t>
      </w:r>
      <w:r>
        <w:br/>
      </w:r>
      <w:r>
        <w:rPr>
          <w:rFonts w:ascii="Times New Roman"/>
          <w:b w:val="false"/>
          <w:i w:val="false"/>
          <w:color w:val="000000"/>
          <w:sz w:val="28"/>
        </w:rPr>
        <w:t>
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7442"/>
        <w:gridCol w:w="5742"/>
      </w:tblGrid>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учаскесінің атауы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XXVIII-20-D (ішінара), E (ішінара), F (ішінара), 21-A (ішінара), B (ішінара), C (ішінара), D (ішінара), E, F; XXIX-18-F (ішінара), 19-A (ішінара), B (ішінара), C (ішінара), D (ішінара), E, F (ішінара), 20-A, B, C, D (ішінара), E (ішінара), F(ішінара), 21; XXX-18-C (ішінара), F (ішінара), 19-A, B, C (ішінара), D (ішінара), E, F (ішінара), 20-A (ішінара), C (ішінара), D (ішінара), E (ішінара), F (ішінара), 21-A (ішінара), B,C, D, E, F, 22; XXXI-19-A (ішінара), B, C, D (ішінара), E (ішінара), F, 20, 21, 22-A, B, C, D, E, F (ішінара); XXXII-19-B (ішінара), C (ішінара), F (ішінара), 20-A, B, C, D (ішінара), E (ішінара), F (ішінара), 21-A, B (ішінара), C (ішінара), D (ішінара), E (ішінара), 22-A (ішінара), B (ішінара), C (ішінара) блоктары шегіндегі Қосбұлақ</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 xml:space="preserve">,, </w:t>
            </w:r>
            <w:r>
              <w:rPr>
                <w:rFonts w:ascii="Times New Roman"/>
                <w:b w:val="false"/>
                <w:i w:val="false"/>
                <w:color w:val="000000"/>
                <w:sz w:val="20"/>
              </w:rPr>
              <w:t>ш.б.</w:t>
            </w:r>
            <w:r>
              <w:br/>
            </w:r>
            <w:r>
              <w:rPr>
                <w:rFonts w:ascii="Times New Roman"/>
                <w:b w:val="false"/>
                <w:i w:val="false"/>
                <w:color w:val="000000"/>
                <w:sz w:val="20"/>
              </w:rPr>
              <w:t>
45</w:t>
            </w:r>
            <w:r>
              <w:rPr>
                <w:rFonts w:ascii="Times New Roman"/>
                <w:b w:val="false"/>
                <w:i w:val="false"/>
                <w:color w:val="000000"/>
                <w:vertAlign w:val="superscript"/>
              </w:rPr>
              <w:t>0</w:t>
            </w:r>
            <w:r>
              <w:rPr>
                <w:rFonts w:ascii="Times New Roman"/>
                <w:b w:val="false"/>
                <w:i w:val="false"/>
                <w:color w:val="000000"/>
                <w:sz w:val="20"/>
              </w:rPr>
              <w:t>21</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с.е. 57</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57</w:t>
            </w:r>
            <w:r>
              <w:rPr>
                <w:rFonts w:ascii="Times New Roman"/>
                <w:b w:val="false"/>
                <w:i w:val="false"/>
                <w:color w:val="000000"/>
                <w:vertAlign w:val="superscript"/>
              </w:rPr>
              <w:t>0</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57</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46</w:t>
            </w:r>
            <w:r>
              <w:rPr>
                <w:rFonts w:ascii="Times New Roman"/>
                <w:b w:val="false"/>
                <w:i w:val="false"/>
                <w:color w:val="000000"/>
                <w:vertAlign w:val="superscript"/>
              </w:rPr>
              <w:t>0</w:t>
            </w:r>
            <w:r>
              <w:rPr>
                <w:rFonts w:ascii="Times New Roman"/>
                <w:b w:val="false"/>
                <w:i w:val="false"/>
                <w:color w:val="000000"/>
                <w:sz w:val="20"/>
              </w:rPr>
              <w:t>40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57</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46</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46</w:t>
            </w:r>
            <w:r>
              <w:rPr>
                <w:rFonts w:ascii="Times New Roman"/>
                <w:b w:val="false"/>
                <w:i w:val="false"/>
                <w:color w:val="000000"/>
                <w:vertAlign w:val="superscript"/>
              </w:rPr>
              <w:t>0</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с.е. 55</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Шағырлы-Шөмішті кен орнын қоспағанда</w:t>
            </w:r>
          </w:p>
        </w:tc>
      </w:tr>
      <w:tr>
        <w:trPr>
          <w:trHeight w:val="25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XXXVII-11-F (ішінара), 12-D (ішінара), F (ішінара), E (ішінара); XXXVIII-11-C (ішінара), 12-A (ішінара), B, C (ішінара), D (ішінара), E (ішінара), F, 13-A (ішінара), B (ішінара), C (ішінара), D,E,F, 14-A (ішінара), D (ішінара), E (ішінара); XXXIX-12-B (ішінара), C (ішінара), E (ішінара), F (ішінара), 13-A (ішінара), B, C, D (ішінара), E (ішінара), F, 14-A, B (ішінара), C (ішінара), D (ішінара), E (ішінара); XL-13-B (ішінара), C, D (ішінара), E (ішінара), F (ішінара), 14-A (ішінара), D (ішінара); XLI-13-C (ішінара) блоктары</w:t>
            </w:r>
          </w:p>
        </w:tc>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01</w:t>
            </w:r>
            <w:r>
              <w:rPr>
                <w:rFonts w:ascii="Times New Roman"/>
                <w:b w:val="false"/>
                <w:i w:val="false"/>
                <w:color w:val="000000"/>
                <w:vertAlign w:val="superscript"/>
              </w:rPr>
              <w:t>,</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51</w:t>
            </w:r>
            <w:r>
              <w:rPr>
                <w:rFonts w:ascii="Times New Roman"/>
                <w:b w:val="false"/>
                <w:i w:val="false"/>
                <w:color w:val="000000"/>
                <w:vertAlign w:val="superscript"/>
              </w:rPr>
              <w:t>,,</w:t>
            </w:r>
            <w:r>
              <w:rPr>
                <w:rFonts w:ascii="Times New Roman"/>
                <w:b w:val="false"/>
                <w:i w:val="false"/>
                <w:color w:val="000000"/>
                <w:sz w:val="20"/>
              </w:rPr>
              <w:t xml:space="preserve"> с.е. 51</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31</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27</w:t>
            </w:r>
            <w:r>
              <w:rPr>
                <w:rFonts w:ascii="Times New Roman"/>
                <w:b w:val="false"/>
                <w:i w:val="false"/>
                <w:color w:val="000000"/>
                <w:vertAlign w:val="superscript"/>
              </w:rPr>
              <w:t>,</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 xml:space="preserve"> с.е. 51</w:t>
            </w:r>
            <w:r>
              <w:rPr>
                <w:rFonts w:ascii="Times New Roman"/>
                <w:b w:val="false"/>
                <w:i w:val="false"/>
                <w:color w:val="000000"/>
                <w:vertAlign w:val="superscript"/>
              </w:rPr>
              <w:t>0</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22</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19</w:t>
            </w:r>
            <w:r>
              <w:rPr>
                <w:rFonts w:ascii="Times New Roman"/>
                <w:b w:val="false"/>
                <w:i w:val="false"/>
                <w:color w:val="000000"/>
                <w:vertAlign w:val="superscript"/>
              </w:rPr>
              <w:t>,</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44</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14</w:t>
            </w:r>
            <w:r>
              <w:rPr>
                <w:rFonts w:ascii="Times New Roman"/>
                <w:b w:val="false"/>
                <w:i w:val="false"/>
                <w:color w:val="000000"/>
                <w:vertAlign w:val="superscript"/>
              </w:rPr>
              <w:t>,</w:t>
            </w:r>
            <w:r>
              <w:rPr>
                <w:rFonts w:ascii="Times New Roman"/>
                <w:b w:val="false"/>
                <w:i w:val="false"/>
                <w:color w:val="000000"/>
                <w:sz w:val="20"/>
              </w:rPr>
              <w:t>59</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58</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43</w:t>
            </w:r>
            <w:r>
              <w:rPr>
                <w:rFonts w:ascii="Times New Roman"/>
                <w:b w:val="false"/>
                <w:i w:val="false"/>
                <w:color w:val="000000"/>
                <w:vertAlign w:val="superscript"/>
              </w:rPr>
              <w:t>0</w:t>
            </w:r>
            <w:r>
              <w:rPr>
                <w:rFonts w:ascii="Times New Roman"/>
                <w:b w:val="false"/>
                <w:i w:val="false"/>
                <w:color w:val="000000"/>
                <w:sz w:val="20"/>
              </w:rPr>
              <w:t>04</w:t>
            </w:r>
            <w:r>
              <w:rPr>
                <w:rFonts w:ascii="Times New Roman"/>
                <w:b w:val="false"/>
                <w:i w:val="false"/>
                <w:color w:val="000000"/>
                <w:vertAlign w:val="superscript"/>
              </w:rPr>
              <w:t>,</w:t>
            </w:r>
            <w:r>
              <w:rPr>
                <w:rFonts w:ascii="Times New Roman"/>
                <w:b w:val="false"/>
                <w:i w:val="false"/>
                <w:color w:val="000000"/>
                <w:sz w:val="20"/>
              </w:rPr>
              <w:t>56</w:t>
            </w:r>
            <w:r>
              <w:rPr>
                <w:rFonts w:ascii="Times New Roman"/>
                <w:b w:val="false"/>
                <w:i w:val="false"/>
                <w:color w:val="000000"/>
                <w:vertAlign w:val="superscript"/>
              </w:rPr>
              <w:t>,,</w:t>
            </w:r>
            <w:r>
              <w:rPr>
                <w:rFonts w:ascii="Times New Roman"/>
                <w:b w:val="false"/>
                <w:i w:val="false"/>
                <w:color w:val="000000"/>
                <w:sz w:val="20"/>
              </w:rPr>
              <w:t xml:space="preserve"> с.е. 53</w:t>
            </w:r>
            <w:r>
              <w:rPr>
                <w:rFonts w:ascii="Times New Roman"/>
                <w:b w:val="false"/>
                <w:i w:val="false"/>
                <w:color w:val="000000"/>
                <w:vertAlign w:val="superscript"/>
              </w:rPr>
              <w:t>0</w:t>
            </w:r>
            <w:r>
              <w:rPr>
                <w:rFonts w:ascii="Times New Roman"/>
                <w:b w:val="false"/>
                <w:i w:val="false"/>
                <w:color w:val="000000"/>
                <w:sz w:val="20"/>
              </w:rPr>
              <w:t>13</w:t>
            </w:r>
            <w:r>
              <w:rPr>
                <w:rFonts w:ascii="Times New Roman"/>
                <w:b w:val="false"/>
                <w:i w:val="false"/>
                <w:color w:val="000000"/>
                <w:vertAlign w:val="superscript"/>
              </w:rPr>
              <w:t>,</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57</w:t>
            </w:r>
            <w:r>
              <w:rPr>
                <w:rFonts w:ascii="Times New Roman"/>
                <w:b w:val="false"/>
                <w:i w:val="false"/>
                <w:color w:val="000000"/>
                <w:vertAlign w:val="superscript"/>
              </w:rPr>
              <w:t>,</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 xml:space="preserve"> с.е. 53</w:t>
            </w:r>
            <w:r>
              <w:rPr>
                <w:rFonts w:ascii="Times New Roman"/>
                <w:b w:val="false"/>
                <w:i w:val="false"/>
                <w:color w:val="000000"/>
                <w:vertAlign w:val="superscript"/>
              </w:rPr>
              <w:t>0</w:t>
            </w:r>
            <w:r>
              <w:rPr>
                <w:rFonts w:ascii="Times New Roman"/>
                <w:b w:val="false"/>
                <w:i w:val="false"/>
                <w:color w:val="000000"/>
                <w:sz w:val="20"/>
              </w:rPr>
              <w:t>20</w:t>
            </w:r>
            <w:r>
              <w:rPr>
                <w:rFonts w:ascii="Times New Roman"/>
                <w:b w:val="false"/>
                <w:i w:val="false"/>
                <w:color w:val="000000"/>
                <w:vertAlign w:val="superscript"/>
              </w:rPr>
              <w:t>,</w:t>
            </w:r>
            <w:r>
              <w:rPr>
                <w:rFonts w:ascii="Times New Roman"/>
                <w:b w:val="false"/>
                <w:i w:val="false"/>
                <w:color w:val="000000"/>
                <w:sz w:val="20"/>
              </w:rPr>
              <w:t>30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52</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54</w:t>
            </w:r>
            <w:r>
              <w:rPr>
                <w:rFonts w:ascii="Times New Roman"/>
                <w:b w:val="false"/>
                <w:i w:val="false"/>
                <w:color w:val="000000"/>
                <w:vertAlign w:val="superscript"/>
              </w:rPr>
              <w:t>,</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23</w:t>
            </w:r>
            <w:r>
              <w:rPr>
                <w:rFonts w:ascii="Times New Roman"/>
                <w:b w:val="false"/>
                <w:i w:val="false"/>
                <w:color w:val="000000"/>
                <w:vertAlign w:val="superscript"/>
              </w:rPr>
              <w:t>,</w:t>
            </w:r>
            <w:r>
              <w:rPr>
                <w:rFonts w:ascii="Times New Roman"/>
                <w:b w:val="false"/>
                <w:i w:val="false"/>
                <w:color w:val="000000"/>
                <w:sz w:val="20"/>
              </w:rPr>
              <w:t>38</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42</w:t>
            </w:r>
            <w:r>
              <w:rPr>
                <w:rFonts w:ascii="Times New Roman"/>
                <w:b w:val="false"/>
                <w:i w:val="false"/>
                <w:color w:val="000000"/>
                <w:vertAlign w:val="superscript"/>
              </w:rPr>
              <w:t>,</w:t>
            </w:r>
            <w:r>
              <w:rPr>
                <w:rFonts w:ascii="Times New Roman"/>
                <w:b w:val="false"/>
                <w:i w:val="false"/>
                <w:color w:val="000000"/>
                <w:sz w:val="20"/>
              </w:rPr>
              <w:t>47</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45</w:t>
            </w:r>
            <w:r>
              <w:rPr>
                <w:rFonts w:ascii="Times New Roman"/>
                <w:b w:val="false"/>
                <w:i w:val="false"/>
                <w:color w:val="000000"/>
                <w:vertAlign w:val="superscript"/>
              </w:rPr>
              <w:t>,</w:t>
            </w:r>
            <w:r>
              <w:rPr>
                <w:rFonts w:ascii="Times New Roman"/>
                <w:b w:val="false"/>
                <w:i w:val="false"/>
                <w:color w:val="000000"/>
                <w:sz w:val="20"/>
              </w:rPr>
              <w:t>10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48</w:t>
            </w:r>
            <w:r>
              <w:rPr>
                <w:rFonts w:ascii="Times New Roman"/>
                <w:b w:val="false"/>
                <w:i w:val="false"/>
                <w:color w:val="000000"/>
                <w:vertAlign w:val="superscript"/>
              </w:rPr>
              <w:t>,</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37</w:t>
            </w:r>
            <w:r>
              <w:rPr>
                <w:rFonts w:ascii="Times New Roman"/>
                <w:b w:val="false"/>
                <w:i w:val="false"/>
                <w:color w:val="000000"/>
                <w:vertAlign w:val="superscript"/>
              </w:rPr>
              <w:t>,</w:t>
            </w:r>
            <w:r>
              <w:rPr>
                <w:rFonts w:ascii="Times New Roman"/>
                <w:b w:val="false"/>
                <w:i w:val="false"/>
                <w:color w:val="000000"/>
                <w:sz w:val="20"/>
              </w:rPr>
              <w:t>00</w:t>
            </w:r>
            <w:r>
              <w:rPr>
                <w:rFonts w:ascii="Times New Roman"/>
                <w:b w:val="false"/>
                <w:i w:val="false"/>
                <w:color w:val="000000"/>
                <w:vertAlign w:val="superscript"/>
              </w:rPr>
              <w:t>,,</w:t>
            </w:r>
            <w:r>
              <w:rPr>
                <w:rFonts w:ascii="Times New Roman"/>
                <w:b w:val="false"/>
                <w:i w:val="false"/>
                <w:color w:val="000000"/>
                <w:sz w:val="20"/>
              </w:rPr>
              <w:t xml:space="preserve"> ш.б.</w:t>
            </w:r>
            <w:r>
              <w:br/>
            </w:r>
            <w:r>
              <w:rPr>
                <w:rFonts w:ascii="Times New Roman"/>
                <w:b w:val="false"/>
                <w:i w:val="false"/>
                <w:color w:val="000000"/>
                <w:sz w:val="20"/>
              </w:rPr>
              <w:t>
42</w:t>
            </w:r>
            <w:r>
              <w:rPr>
                <w:rFonts w:ascii="Times New Roman"/>
                <w:b w:val="false"/>
                <w:i w:val="false"/>
                <w:color w:val="000000"/>
                <w:vertAlign w:val="superscript"/>
              </w:rPr>
              <w:t>0</w:t>
            </w:r>
            <w:r>
              <w:rPr>
                <w:rFonts w:ascii="Times New Roman"/>
                <w:b w:val="false"/>
                <w:i w:val="false"/>
                <w:color w:val="000000"/>
                <w:sz w:val="20"/>
              </w:rPr>
              <w:t>50</w:t>
            </w:r>
            <w:r>
              <w:rPr>
                <w:rFonts w:ascii="Times New Roman"/>
                <w:b w:val="false"/>
                <w:i w:val="false"/>
                <w:color w:val="000000"/>
                <w:vertAlign w:val="superscript"/>
              </w:rPr>
              <w:t>,</w:t>
            </w:r>
            <w:r>
              <w:rPr>
                <w:rFonts w:ascii="Times New Roman"/>
                <w:b w:val="false"/>
                <w:i w:val="false"/>
                <w:color w:val="000000"/>
                <w:sz w:val="20"/>
              </w:rPr>
              <w:t>46</w:t>
            </w:r>
            <w:r>
              <w:rPr>
                <w:rFonts w:ascii="Times New Roman"/>
                <w:b w:val="false"/>
                <w:i w:val="false"/>
                <w:color w:val="000000"/>
                <w:vertAlign w:val="superscript"/>
              </w:rPr>
              <w:t>,,</w:t>
            </w:r>
            <w:r>
              <w:rPr>
                <w:rFonts w:ascii="Times New Roman"/>
                <w:b w:val="false"/>
                <w:i w:val="false"/>
                <w:color w:val="000000"/>
                <w:sz w:val="20"/>
              </w:rPr>
              <w:t xml:space="preserve"> с.е. 52</w:t>
            </w:r>
            <w:r>
              <w:rPr>
                <w:rFonts w:ascii="Times New Roman"/>
                <w:b w:val="false"/>
                <w:i w:val="false"/>
                <w:color w:val="000000"/>
                <w:vertAlign w:val="superscript"/>
              </w:rPr>
              <w:t>0</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55</w:t>
            </w:r>
            <w:r>
              <w:rPr>
                <w:rFonts w:ascii="Times New Roman"/>
                <w:b w:val="false"/>
                <w:i w:val="false"/>
                <w:color w:val="000000"/>
                <w:vertAlign w:val="superscript"/>
              </w:rPr>
              <w:t>,,</w:t>
            </w:r>
            <w:r>
              <w:rPr>
                <w:rFonts w:ascii="Times New Roman"/>
                <w:b w:val="false"/>
                <w:i w:val="false"/>
                <w:color w:val="000000"/>
                <w:sz w:val="20"/>
              </w:rPr>
              <w:t xml:space="preserve"> ш.б.</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