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02ea" w14:textId="0d20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 Қазақстан Республикасы Үкіметінің 2014 жылғы 31 шілдедегі № 845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23 желтоқсандағы № 845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 Қазақстан Республикасы Үкіметінің 2014 жылғы 31 шілдедегі № 845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көрсетілген қаулымен мақұлданған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келісімнің </w:t>
      </w:r>
      <w:r>
        <w:rPr>
          <w:rFonts w:ascii="Times New Roman"/>
          <w:b w:val="false"/>
          <w:i w:val="false"/>
          <w:color w:val="000000"/>
          <w:sz w:val="28"/>
        </w:rPr>
        <w:t>жобасында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2-баптың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министрлігін (Аэроғарыш комитеті);».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