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6553" w14:textId="9fe6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жеке құқық жөніндегі Гаага конференциясының Жарғысын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23 қаңтардағы № 11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«Халықаралық жеке құқық жөніндегі Гаага конференциясының Жарғысын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Халықаралық жеке құқық жөніндегі Гаага конференциясының</w:t>
      </w:r>
      <w:r>
        <w:br/>
      </w:r>
      <w:r>
        <w:rPr>
          <w:rFonts w:ascii="Times New Roman"/>
          <w:b/>
          <w:i w:val="false"/>
          <w:color w:val="000000"/>
        </w:rPr>
        <w:t>
Жарғысын ратификациялау туралы</w:t>
      </w:r>
    </w:p>
    <w:p>
      <w:pPr>
        <w:spacing w:after="0"/>
        <w:ind w:left="0"/>
        <w:jc w:val="both"/>
      </w:pPr>
      <w:r>
        <w:rPr>
          <w:rFonts w:ascii="Times New Roman"/>
          <w:b w:val="false"/>
          <w:i w:val="false"/>
          <w:color w:val="000000"/>
          <w:sz w:val="28"/>
        </w:rPr>
        <w:t>      1955 жылғы 15 шілдеде Гаагада жасалған Халықаралық жеке құқық жөніндегі Гаага конференциясының Жарғысы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ХАЛЫҚАРАЛЫҚ ЖЕКЕ ҚҰҚЫҚ ЖӨНІНДЕГІ ГААГА КОНФЕРЕНЦИЯСЫНЫҢ ЖАРҒЫСЫ</w:t>
      </w:r>
      <w:r>
        <w:br/>
      </w:r>
      <w:r>
        <w:rPr>
          <w:rFonts w:ascii="Times New Roman"/>
          <w:b/>
          <w:i w:val="false"/>
          <w:color w:val="000000"/>
        </w:rPr>
        <w:t>
(1955 жылғы 15 шілдеде күшіне енді)</w:t>
      </w:r>
    </w:p>
    <w:p>
      <w:pPr>
        <w:spacing w:after="0"/>
        <w:ind w:left="0"/>
        <w:jc w:val="both"/>
      </w:pPr>
      <w:r>
        <w:rPr>
          <w:rFonts w:ascii="Times New Roman"/>
          <w:b w:val="false"/>
          <w:i w:val="false"/>
          <w:color w:val="000000"/>
          <w:sz w:val="28"/>
        </w:rPr>
        <w:t>      Төменде көрсетілген елдердің:</w:t>
      </w:r>
      <w:r>
        <w:br/>
      </w:r>
      <w:r>
        <w:rPr>
          <w:rFonts w:ascii="Times New Roman"/>
          <w:b w:val="false"/>
          <w:i w:val="false"/>
          <w:color w:val="000000"/>
          <w:sz w:val="28"/>
        </w:rPr>
        <w:t>
      Германия Федеративтік Республикасы, Аустрия, Бельгия, Дания, Испания, Финляндия, Франция, Италия, Жапония, Люксембург, Норвегия, Нидерланды, Португалия, Ұлыбритания Біріккен Корольдігі және Солтүстік Ирландия, Швеция және Швейцария үкіметтері,</w:t>
      </w:r>
      <w:r>
        <w:br/>
      </w:r>
      <w:r>
        <w:rPr>
          <w:rFonts w:ascii="Times New Roman"/>
          <w:b w:val="false"/>
          <w:i w:val="false"/>
          <w:color w:val="000000"/>
          <w:sz w:val="28"/>
        </w:rPr>
        <w:t>
      Халықаралық жеке құқық жөніндегі Гаага конференциясының тұрақты сипатын назарға ала отырып,</w:t>
      </w:r>
      <w:r>
        <w:br/>
      </w:r>
      <w:r>
        <w:rPr>
          <w:rFonts w:ascii="Times New Roman"/>
          <w:b w:val="false"/>
          <w:i w:val="false"/>
          <w:color w:val="000000"/>
          <w:sz w:val="28"/>
        </w:rPr>
        <w:t>
      осы сипатты нығайтуға ниет білдіре отырып,</w:t>
      </w:r>
      <w:r>
        <w:br/>
      </w:r>
      <w:r>
        <w:rPr>
          <w:rFonts w:ascii="Times New Roman"/>
          <w:b w:val="false"/>
          <w:i w:val="false"/>
          <w:color w:val="000000"/>
          <w:sz w:val="28"/>
        </w:rPr>
        <w:t>
      осы мақсатта Конференцияны Жарлықпен қамтамасыз ету жөн деп есептей отырып,</w:t>
      </w:r>
      <w:r>
        <w:br/>
      </w:r>
      <w:r>
        <w:rPr>
          <w:rFonts w:ascii="Times New Roman"/>
          <w:b w:val="false"/>
          <w:i w:val="false"/>
          <w:color w:val="000000"/>
          <w:sz w:val="28"/>
        </w:rPr>
        <w:t>
      төмендегі ережелер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Халықаралық жеке құқық жөніндегі Гаага конференциясының мақсаты халықаралық жеке құқық нормаларын прогрессивті біріздендіруге ұмтылу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Конференцияның бір немесе бірнеше сессияларына бұрын да қатысқан және осы Жарғыны қабылдайтын мемлекеттер Халықаралық жеке құқық жөніндегі Гаага конференциясының мүшелері болып табылады.</w:t>
      </w:r>
      <w:r>
        <w:br/>
      </w:r>
      <w:r>
        <w:rPr>
          <w:rFonts w:ascii="Times New Roman"/>
          <w:b w:val="false"/>
          <w:i w:val="false"/>
          <w:color w:val="000000"/>
          <w:sz w:val="28"/>
        </w:rPr>
        <w:t>
      2. Қатысуы заңды тұрғыдан Конференцияның жұмысы үшін маңызды болып табылатын кез келген мемлекет ұйымның мүшесі бола алады. Жаңа мүше мемлекеттерді қабылдауды қатысушы мемлекеттердің үкіметтері, олардың біреуінің немесе бірнешеуінің ұсынысы бойынша басым дауыспен, осындай ұсыныс үкіметтерге түскен күннен бастап алты айлық кезең ішінде қабылдайды.</w:t>
      </w:r>
      <w:r>
        <w:br/>
      </w:r>
      <w:r>
        <w:rPr>
          <w:rFonts w:ascii="Times New Roman"/>
          <w:b w:val="false"/>
          <w:i w:val="false"/>
          <w:color w:val="000000"/>
          <w:sz w:val="28"/>
        </w:rPr>
        <w:t>
      3. Мүшелікке қабылдау мүдделі мемлекет осы Жарғыны қабылдаған күннен бастап күшіне енеді.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Конференцияға мүше мемлекеттер мүше мемлекеттердің көпшілігі қатысатын жалпы істер және саясат мәселелері жөніндегі отырыста мүше болу туралы Бас хатшыға өтініш берген экономикалық интеграция мәселелері жөніндегі кез келген өңірлік ұйымды Мүше ретінде қабылдау туралы берілген басым дауыспен шешім қабылдауы мүмкін. Егер өзгеше тікелей көзделмесе, осы Жарғыға сәйкес мүшелерге сілтемелерде осындай мүше ұйымдар қамтылады. Мүшелікке қабылдау экономикалық интеграция мәселелері жөніндегі мүдделі өңірлік ұйым Жарғыны қабылдаған кезден бастап күшіне енеді.</w:t>
      </w:r>
      <w:r>
        <w:br/>
      </w:r>
      <w:r>
        <w:rPr>
          <w:rFonts w:ascii="Times New Roman"/>
          <w:b w:val="false"/>
          <w:i w:val="false"/>
          <w:color w:val="000000"/>
          <w:sz w:val="28"/>
        </w:rPr>
        <w:t>
      2. Конференцияға мүше болуға өтініш беру құқығына ие болу үшін экономикалық интеграция мәселелері жөніндегі өңірлік ұйым тек қана егеменді мемлекеттерден тұруға тиіс және шешім қабылдау құқығын қоса алғанда, оның мүше мемлекеттері Конференцияның құзыретіне кіретін, оның мүше мемлекеттеріне бірқатар мәселелер бойынша міндеттемелер жүктейтін мәселелер бойынша оған өкілеттік беруге тиіс.</w:t>
      </w:r>
      <w:r>
        <w:br/>
      </w:r>
      <w:r>
        <w:rPr>
          <w:rFonts w:ascii="Times New Roman"/>
          <w:b w:val="false"/>
          <w:i w:val="false"/>
          <w:color w:val="000000"/>
          <w:sz w:val="28"/>
        </w:rPr>
        <w:t>
      3. Мүше болуға өтініш беретін экономикалық интеграция мәселелері жөніндегі әрбір өңірлік ұйым, осындай өтініш берген кезде, өзінің мүше мемлекеттері берген өкілеттікке қатысты мәселелерді көрсете отырып, өз құзыреті туралы өтініш беруге тиіс.</w:t>
      </w:r>
      <w:r>
        <w:br/>
      </w:r>
      <w:r>
        <w:rPr>
          <w:rFonts w:ascii="Times New Roman"/>
          <w:b w:val="false"/>
          <w:i w:val="false"/>
          <w:color w:val="000000"/>
          <w:sz w:val="28"/>
        </w:rPr>
        <w:t>
      4. Әрбір мүше ұйым және оған мүше мемлекеттер, мүше ұйымның құзыретіне немесе оның мүшелігіне қатысты кез келген өзгерістердің Бас Хатшыға хабарлануын қамтамасыз етеді, ол мұндай ақпаратты Конференцияның басқа мүшелеріне таратады.</w:t>
      </w:r>
      <w:r>
        <w:br/>
      </w:r>
      <w:r>
        <w:rPr>
          <w:rFonts w:ascii="Times New Roman"/>
          <w:b w:val="false"/>
          <w:i w:val="false"/>
          <w:color w:val="000000"/>
          <w:sz w:val="28"/>
        </w:rPr>
        <w:t>
      5. Ұйымның өкілеттіктерді беру туралы белгілі бір мәлімделмеген немесе хабардар етілмеген мүше мемлекеттеріне қатысты барлық мәселелер бойынша олар құзыретін сақтаған болып есептеледі.</w:t>
      </w:r>
      <w:r>
        <w:br/>
      </w:r>
      <w:r>
        <w:rPr>
          <w:rFonts w:ascii="Times New Roman"/>
          <w:b w:val="false"/>
          <w:i w:val="false"/>
          <w:color w:val="000000"/>
          <w:sz w:val="28"/>
        </w:rPr>
        <w:t>
      6. Конференцияның кез келген мүшесі мүше ұйымнан немесе оған мүше мемлекеттерден Конференция алдында тұрған кез келген нақты мәселеге қатысты мүше ұйымның өкілеттіктері бар ма деген ақпаратты сұрата алады. Мүше ұйым және оған мүше мемлекет мұндай сұрау салу бойынша осындай ақпараттың берілуін қамтамасыз етеді.</w:t>
      </w:r>
      <w:r>
        <w:br/>
      </w:r>
      <w:r>
        <w:rPr>
          <w:rFonts w:ascii="Times New Roman"/>
          <w:b w:val="false"/>
          <w:i w:val="false"/>
          <w:color w:val="000000"/>
          <w:sz w:val="28"/>
        </w:rPr>
        <w:t>
      7. Мүше ұйым Конференцияға мүше болып табылатын өздерінің мүше мемлекеттерімен өзінің тиісті құзыреттілігі салаларында мүшелік құқықтарын баламалы негізде жүзеге асырады.</w:t>
      </w:r>
      <w:r>
        <w:br/>
      </w:r>
      <w:r>
        <w:rPr>
          <w:rFonts w:ascii="Times New Roman"/>
          <w:b w:val="false"/>
          <w:i w:val="false"/>
          <w:color w:val="000000"/>
          <w:sz w:val="28"/>
        </w:rPr>
        <w:t>
      8. Мүше ұйым қаралып отырған мәселе бойынша өкілеттіктерді мүше ұйымға берген, және дауыс беруге құқығы бар және осындай отырыстарға тіркелген өзінің мүше мемлекеттерінің санына тең келетін дауыс санын өз өкілеттіктеріне жататын мәселелер бойынша қатысуға құқығы бар Конференцияның кез келген отырысында пайдалана алады. Мүше ұйым өзінің дауыс беру құқығын пайдаланатын барлық кезде оның мүше мемлекеттері оларды жүзеге асырмайды және керісінше.</w:t>
      </w:r>
      <w:r>
        <w:br/>
      </w:r>
      <w:r>
        <w:rPr>
          <w:rFonts w:ascii="Times New Roman"/>
          <w:b w:val="false"/>
          <w:i w:val="false"/>
          <w:color w:val="000000"/>
          <w:sz w:val="28"/>
        </w:rPr>
        <w:t>
      9. «Экономикалық интеграция мәселелері жөніндегі өңірлік ұйым» тек егеменді мемлекеттерден ғана тұратын және шешім қабылдау құқығын қоса алғанда, оған мүше мемлекеттер бірқатар мәселелер бойынша өз өкілеттіктерін берген, осы мәселелерге қатысты оның мүше мемлекеттеріне міндеттемелер жүктейтін халықаралық ұйымды білдіреді.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Барлық мүшелерден тұратын жалпы істер және саясат жөніндегі кеңес (бұдан әрі - «Кеңес») Конференция жұмысы үшін жауап береді. Кеңес отырыстары негізінен жыл сайын өткізіледі.</w:t>
      </w:r>
      <w:r>
        <w:br/>
      </w:r>
      <w:r>
        <w:rPr>
          <w:rFonts w:ascii="Times New Roman"/>
          <w:b w:val="false"/>
          <w:i w:val="false"/>
          <w:color w:val="000000"/>
          <w:sz w:val="28"/>
        </w:rPr>
        <w:t>
      2. Кеңес мұндай жұмысты қызметін өзі басқаратын Тұрақты бюро арқылы қамтамасыз етеді.</w:t>
      </w:r>
      <w:r>
        <w:br/>
      </w:r>
      <w:r>
        <w:rPr>
          <w:rFonts w:ascii="Times New Roman"/>
          <w:b w:val="false"/>
          <w:i w:val="false"/>
          <w:color w:val="000000"/>
          <w:sz w:val="28"/>
        </w:rPr>
        <w:t>
      3. Кеңес Конференцияның күн тәртібіне енгізілуге тиісті барлық ұсыныстарды қарайды. Ол осындай ұсыныстармен байланысты қабылдануы қажет шараларды айқындауға құқылы.</w:t>
      </w:r>
      <w:r>
        <w:br/>
      </w:r>
      <w:r>
        <w:rPr>
          <w:rFonts w:ascii="Times New Roman"/>
          <w:b w:val="false"/>
          <w:i w:val="false"/>
          <w:color w:val="000000"/>
          <w:sz w:val="28"/>
        </w:rPr>
        <w:t>
      4. Корольдің 1897 жылғы 20 ақпандағы Жарлығымен бекітілген Нидерландтық тұрақты үкіметтік комитет халықаралық жеке құқықты кодификациялауға жәрдемдесу мақсатында конференция мүшелерімен консультациядан кейін дипломатиялық сессиялардың күнін айқындайды.</w:t>
      </w:r>
      <w:r>
        <w:br/>
      </w:r>
      <w:r>
        <w:rPr>
          <w:rFonts w:ascii="Times New Roman"/>
          <w:b w:val="false"/>
          <w:i w:val="false"/>
          <w:color w:val="000000"/>
          <w:sz w:val="28"/>
        </w:rPr>
        <w:t>
      5. Тұрақты үкіметтік комитет мүшелерді шақыру үшін Нидерланды үкіметіне жүгінеді. Тұрақты үкіметтік комитеттің төрағасы Конференция сессияларында төрағалық етеді.</w:t>
      </w:r>
      <w:r>
        <w:br/>
      </w:r>
      <w:r>
        <w:rPr>
          <w:rFonts w:ascii="Times New Roman"/>
          <w:b w:val="false"/>
          <w:i w:val="false"/>
          <w:color w:val="000000"/>
          <w:sz w:val="28"/>
        </w:rPr>
        <w:t>
      6. Конференцияның кезекті сессиялары негізінен төрт жыл сайын өткізіледі.</w:t>
      </w:r>
      <w:r>
        <w:br/>
      </w:r>
      <w:r>
        <w:rPr>
          <w:rFonts w:ascii="Times New Roman"/>
          <w:b w:val="false"/>
          <w:i w:val="false"/>
          <w:color w:val="000000"/>
          <w:sz w:val="28"/>
        </w:rPr>
        <w:t>
      7. Қажет болған жағдайда, Кеңес Тұрақты үкіметтік комитетпен консультациялардан кейін Нидерланды Үкіметінен конференцияның кезектен тыс сессиясын шақыруды сұрай алады.</w:t>
      </w:r>
      <w:r>
        <w:br/>
      </w:r>
      <w:r>
        <w:rPr>
          <w:rFonts w:ascii="Times New Roman"/>
          <w:b w:val="false"/>
          <w:i w:val="false"/>
          <w:color w:val="000000"/>
          <w:sz w:val="28"/>
        </w:rPr>
        <w:t>
      8. Кеңес Тұрақты үкіметтің комитетіне Конференция жұмысына қатысты кез-келген басқа мәселелер бойынша консультация бере 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Тұрақты бюро өз отырыстарын Гаагада өткізеді. Ол Бас хатшыдан және Тұрақты үкіметтік комитеттің ұсынуы бойынша Нидерланды Үкіметі тағайындайтын төрт хатшыдан тұрады.</w:t>
      </w:r>
      <w:r>
        <w:br/>
      </w:r>
      <w:r>
        <w:rPr>
          <w:rFonts w:ascii="Times New Roman"/>
          <w:b w:val="false"/>
          <w:i w:val="false"/>
          <w:color w:val="000000"/>
          <w:sz w:val="28"/>
        </w:rPr>
        <w:t>
      2. Бас хатшының және хатшылардың тиісті құқықтық білімі және практикалық тәжірибесі болуға тиіс. Оларды тағайындау кезінде географиялық өкілдігінің әралуандылығы мен құқықтық сараптамасы да ескеріледі.</w:t>
      </w:r>
      <w:r>
        <w:br/>
      </w:r>
      <w:r>
        <w:rPr>
          <w:rFonts w:ascii="Times New Roman"/>
          <w:b w:val="false"/>
          <w:i w:val="false"/>
          <w:color w:val="000000"/>
          <w:sz w:val="28"/>
        </w:rPr>
        <w:t>
      3. Кеңеспен консультациядан кейін және 10-бапқа сәйкес хатшылардың саны көбеюі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Тұрақты бюро Кеңестің басшылығымен -</w:t>
      </w:r>
      <w:r>
        <w:br/>
      </w:r>
      <w:r>
        <w:rPr>
          <w:rFonts w:ascii="Times New Roman"/>
          <w:b w:val="false"/>
          <w:i w:val="false"/>
          <w:color w:val="000000"/>
          <w:sz w:val="28"/>
        </w:rPr>
        <w:t>
      1) Гаага конференциясының сессияларын, сондай-ақ Кеңес отырыстары мен кез келген арнайы комиссияларды дайындау және ұйымдастыру;</w:t>
      </w:r>
      <w:r>
        <w:br/>
      </w:r>
      <w:r>
        <w:rPr>
          <w:rFonts w:ascii="Times New Roman"/>
          <w:b w:val="false"/>
          <w:i w:val="false"/>
          <w:color w:val="000000"/>
          <w:sz w:val="28"/>
        </w:rPr>
        <w:t>
      2) Хатшылықтың жоғарыда көзделген сессиялардағы және отырыстардағы жұмысы;</w:t>
      </w:r>
      <w:r>
        <w:br/>
      </w:r>
      <w:r>
        <w:rPr>
          <w:rFonts w:ascii="Times New Roman"/>
          <w:b w:val="false"/>
          <w:i w:val="false"/>
          <w:color w:val="000000"/>
          <w:sz w:val="28"/>
        </w:rPr>
        <w:t>
      3) Хатшылықтың қызметіне кіретін барлық тапсырмалар үшін жауап береді.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Конференцияның мүшелері мен Тұрақты бюро арасындағы өзара іс-қимылға жәрдемдесу мақсатында әрбір мүше мемлекеттің үкіметі - ұлттық органды, және әрбір мүше ұйым байланыс жасайтын органды тағайындайды.</w:t>
      </w:r>
      <w:r>
        <w:br/>
      </w:r>
      <w:r>
        <w:rPr>
          <w:rFonts w:ascii="Times New Roman"/>
          <w:b w:val="false"/>
          <w:i w:val="false"/>
          <w:color w:val="000000"/>
          <w:sz w:val="28"/>
        </w:rPr>
        <w:t>
      2. Тұрақты бюро барлық тағайындалған органдармен және құзыретті халықаралық ұйымдармен хат алмаса 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Кеңес сессияларда және отырыстар арасындағы аралықта конвенция жобаларын дайындау немесе Конференция мақсатына кіретін халықаралық жеке құқықтың барлық мәселелерін зерделеу үшін арнайы комиссиялар құра алады.</w:t>
      </w:r>
      <w:r>
        <w:br/>
      </w:r>
      <w:r>
        <w:rPr>
          <w:rFonts w:ascii="Times New Roman"/>
          <w:b w:val="false"/>
          <w:i w:val="false"/>
          <w:color w:val="000000"/>
          <w:sz w:val="28"/>
        </w:rPr>
        <w:t>
      2. Кеңес және арнайы комиссиялар сессияларда барынша мүмкін дәрежеде консенсус негізінде жұмыс істейді.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Конференцияның бюджетте көзделген шығыстары Конференцияға мүше мемлекеттердің арасында бөлінуге тиіс.</w:t>
      </w:r>
      <w:r>
        <w:br/>
      </w:r>
      <w:r>
        <w:rPr>
          <w:rFonts w:ascii="Times New Roman"/>
          <w:b w:val="false"/>
          <w:i w:val="false"/>
          <w:color w:val="000000"/>
          <w:sz w:val="28"/>
        </w:rPr>
        <w:t>
      2. Мүше ұйым өзінің мүше мемлекеттеріне Конференцияның жылдық бюджетіне қосымша ретінде жарна енгізуге міндетті емес, бірақ оның мүшелігінен туындайтын қосымша әкімшілік шығыстарды жабу үшін Конференция мүше ұйыммен консультацияда айқындайтын соманы төлейді.</w:t>
      </w:r>
      <w:r>
        <w:br/>
      </w:r>
      <w:r>
        <w:rPr>
          <w:rFonts w:ascii="Times New Roman"/>
          <w:b w:val="false"/>
          <w:i w:val="false"/>
          <w:color w:val="000000"/>
          <w:sz w:val="28"/>
        </w:rPr>
        <w:t>
      3. Кез келген жағдайда, Кеңестің және арнайы комиссиялар делегаттарының көлікке және тұруына арналған шығыстарын ұсынатын мүшелер төлейді.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Конференцияның бюджеті Гаагадағы мүше мемлекеттердің Дипломатиялық өкілдіктерінің кеңесіне бекітуге жыл сайын ұсынылып отырады.</w:t>
      </w:r>
      <w:r>
        <w:br/>
      </w:r>
      <w:r>
        <w:rPr>
          <w:rFonts w:ascii="Times New Roman"/>
          <w:b w:val="false"/>
          <w:i w:val="false"/>
          <w:color w:val="000000"/>
          <w:sz w:val="28"/>
        </w:rPr>
        <w:t>
      2. Бұл өкілдер соңғысының бюджетіне алынатын шығыстарды да мүше мемлекеттер арасында бөледі.</w:t>
      </w:r>
      <w:r>
        <w:br/>
      </w:r>
      <w:r>
        <w:rPr>
          <w:rFonts w:ascii="Times New Roman"/>
          <w:b w:val="false"/>
          <w:i w:val="false"/>
          <w:color w:val="000000"/>
          <w:sz w:val="28"/>
        </w:rPr>
        <w:t>
      3. Дипломатиялық өкілдер осындай мақсаттар үшін Нидерланды Корольдігінің Сыртқы істер министрінің төрағалық етуімен кездесуге тиіс.</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Конференцияның кезекті және кезектен тыс сессияларын өткізу нәтижесінде келтірілген шығыстарды Нидерланды Үкіметі жабады.</w:t>
      </w:r>
      <w:r>
        <w:br/>
      </w:r>
      <w:r>
        <w:rPr>
          <w:rFonts w:ascii="Times New Roman"/>
          <w:b w:val="false"/>
          <w:i w:val="false"/>
          <w:color w:val="000000"/>
          <w:sz w:val="28"/>
        </w:rPr>
        <w:t>
      2. Кез келген жағдайда, делегаттардың көлікке және тұруына арналған шығыстарын тиісті мүшелер төлейді.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Конференцияны өткізудің әдеттегі практикасы, егер осы Жарғыға немесе Регламентке қайшы келмейтін болса, барлық мәселелер бойынша сақталады.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Жарғыға түзетулер жалпы істерге және саясатқа қатысты отырысқа қатысатын мүше мемлекеттердің консенсусы негізінде қабылдануға тиіс.</w:t>
      </w:r>
      <w:r>
        <w:br/>
      </w:r>
      <w:r>
        <w:rPr>
          <w:rFonts w:ascii="Times New Roman"/>
          <w:b w:val="false"/>
          <w:i w:val="false"/>
          <w:color w:val="000000"/>
          <w:sz w:val="28"/>
        </w:rPr>
        <w:t>
      2. Мұндай түзетулер оларды мүше мемлекеттердің үштен екісі өздерінің ішкі мемлекеттік рәсімдеріне сәйкес мақұлдағаннан кейін үш ай өткен соң, бірақ оларды қабылдаған күннен бастап тоғыз айдан кейін ғана барлық мүшелер үшін күшіне енеді.</w:t>
      </w:r>
      <w:r>
        <w:br/>
      </w:r>
      <w:r>
        <w:rPr>
          <w:rFonts w:ascii="Times New Roman"/>
          <w:b w:val="false"/>
          <w:i w:val="false"/>
          <w:color w:val="000000"/>
          <w:sz w:val="28"/>
        </w:rPr>
        <w:t>
      3. 1-тармақта аталған отырыс 2-тармақта көрсетілген уақытша кезеңдерді консенсус арқылы өзгертуі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Жарғының орындалуын қамтамасыз ету үшін оның ережелері Регламентпен толықтырылатын болады. Регламентті Тұрақты бюро белгілейді және бекіту үшін дипломатиялық сессияға, Дипломатиялық өкілдердің кеңесіне немесе Жалпы істер және саясат жөніндегі кеңеске ұсынылады.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Осы Жарғы Конференцияның бір немесе бірнеше сессияларына қатысқан мемлекеттердің үкіметтеріне бекітуге беріледі. Ол жетінші сессияға қатысқан мемлекеттердің көпшілігі қабылдаған бойда күшіне енеді.</w:t>
      </w:r>
      <w:r>
        <w:br/>
      </w:r>
      <w:r>
        <w:rPr>
          <w:rFonts w:ascii="Times New Roman"/>
          <w:b w:val="false"/>
          <w:i w:val="false"/>
          <w:color w:val="000000"/>
          <w:sz w:val="28"/>
        </w:rPr>
        <w:t>
      2. Қабылдау туралы өтініш Нидерланды Үкіметіне сақтауға тапсырылады, ол бұл туралы осы баптың 1-тармағында аталған үкіметтерге хабарлайды.</w:t>
      </w:r>
      <w:r>
        <w:br/>
      </w:r>
      <w:r>
        <w:rPr>
          <w:rFonts w:ascii="Times New Roman"/>
          <w:b w:val="false"/>
          <w:i w:val="false"/>
          <w:color w:val="000000"/>
          <w:sz w:val="28"/>
        </w:rPr>
        <w:t>
      3. Нидерланды Үкіметі жаңа мүшені қабылдаған жағдайда барлық мүшелерді жаңа мүшені қабылдау туралы өтініш туралы хабарлауға міндеттенеді.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Әрбір қатысушы осы Жарғы күшіне енген күннен бастап бес жыл өткеннен кейін 15-баптың 1-тармағының ережелеріне сәйкес оның күшін жоя алады.</w:t>
      </w:r>
      <w:r>
        <w:br/>
      </w:r>
      <w:r>
        <w:rPr>
          <w:rFonts w:ascii="Times New Roman"/>
          <w:b w:val="false"/>
          <w:i w:val="false"/>
          <w:color w:val="000000"/>
          <w:sz w:val="28"/>
        </w:rPr>
        <w:t>
      2. Күшін жою туралы хабарлама Конференцияның бюджеттік жылының аяқталуына кем дегенде алты ай қалғанда Нидерланды Корольдігінің Сыртқы істер министрлігіне берілуге тиіс және ол көрсетілген жыл аяқталған соң, бірақ тек тиісті хабарлама жасаған мүше мемлекетке қатысты күшіне енеді.</w:t>
      </w:r>
      <w:r>
        <w:br/>
      </w:r>
      <w:r>
        <w:rPr>
          <w:rFonts w:ascii="Times New Roman"/>
          <w:b w:val="false"/>
          <w:i w:val="false"/>
          <w:color w:val="000000"/>
          <w:sz w:val="28"/>
        </w:rPr>
        <w:t>
      Осы Жарғының ағылшын және француз тілдеріндегі мәтіндері 2007 жылғы 1 қаңтардағы түзетулерімен қоса теңтүпнұсқалы болып табылады.</w:t>
      </w:r>
    </w:p>
    <w:p>
      <w:pPr>
        <w:spacing w:after="0"/>
        <w:ind w:left="0"/>
        <w:jc w:val="both"/>
      </w:pPr>
      <w:r>
        <w:rPr>
          <w:rFonts w:ascii="Times New Roman"/>
          <w:b w:val="false"/>
          <w:i w:val="false"/>
          <w:color w:val="000000"/>
          <w:sz w:val="28"/>
        </w:rPr>
        <w:t>      1955 жылғы 15 шілдеде Гаагада жасалған Халықаралық жеке құқық жөніндегі Гаага конференциясының Жарғысы қазақ тіліндегі аудармасы Жарғы мазмұнына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министрлігінің</w:t>
      </w:r>
      <w:r>
        <w:br/>
      </w:r>
      <w:r>
        <w:rPr>
          <w:rFonts w:ascii="Times New Roman"/>
          <w:b w:val="false"/>
          <w:i w:val="false"/>
          <w:color w:val="000000"/>
          <w:sz w:val="28"/>
        </w:rPr>
        <w:t>
</w:t>
      </w:r>
      <w:r>
        <w:rPr>
          <w:rFonts w:ascii="Times New Roman"/>
          <w:b w:val="false"/>
          <w:i/>
          <w:color w:val="000000"/>
          <w:sz w:val="28"/>
        </w:rPr>
        <w:t>      Халықаралық құқық және ынтымақтастық</w:t>
      </w:r>
      <w:r>
        <w:br/>
      </w:r>
      <w:r>
        <w:rPr>
          <w:rFonts w:ascii="Times New Roman"/>
          <w:b w:val="false"/>
          <w:i w:val="false"/>
          <w:color w:val="000000"/>
          <w:sz w:val="28"/>
        </w:rPr>
        <w:t>
</w:t>
      </w:r>
      <w:r>
        <w:rPr>
          <w:rFonts w:ascii="Times New Roman"/>
          <w:b w:val="false"/>
          <w:i/>
          <w:color w:val="000000"/>
          <w:sz w:val="28"/>
        </w:rPr>
        <w:t>      департаменті директорының орынбасары   С. Нұрмұхамбетов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