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176d" w14:textId="34e1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 мамырдағы № 241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Премьер-Миннстрі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келісімді ратификациялау туралы</w:t>
      </w:r>
    </w:p>
    <w:p>
      <w:pPr>
        <w:spacing w:after="0"/>
        <w:ind w:left="0"/>
        <w:jc w:val="both"/>
      </w:pPr>
      <w:r>
        <w:rPr>
          <w:rFonts w:ascii="Times New Roman"/>
          <w:b w:val="false"/>
          <w:i w:val="false"/>
          <w:color w:val="000000"/>
          <w:sz w:val="28"/>
        </w:rPr>
        <w:t>
      2016 жылғы 26 желтоқсанда Санкт-Петербургте жасалған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Қырғыз Республикасы арасындағы Тарифтік саясат негіздерін қоса алғанда, теміржол көлігі көрсететін қызметтерге қол жеткізуді реттеу тәртібін қолдану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p>
    <w:p>
      <w:pPr>
        <w:spacing w:after="0"/>
        <w:ind w:left="0"/>
        <w:jc w:val="both"/>
      </w:pP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 қосылуы туралы шартты негізге ала отырып,</w:t>
      </w:r>
    </w:p>
    <w:p>
      <w:pPr>
        <w:spacing w:after="0"/>
        <w:ind w:left="0"/>
        <w:jc w:val="both"/>
      </w:pPr>
      <w:r>
        <w:rPr>
          <w:rFonts w:ascii="Times New Roman"/>
          <w:b w:val="false"/>
          <w:i w:val="false"/>
          <w:color w:val="000000"/>
          <w:sz w:val="28"/>
        </w:rPr>
        <w:t>
      Қазақстан Республикасы мен Қырғыз Республикасының үйлестірілген (келісілген) көлік саясатын жүзеге асыру және теміржол көлігінің тұрақты жұмысын қамтамасыз ету мақсатында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Теміржол көлігімен Қазақстан Республикасының аумағы арқылы транзитпен Қырғыз Республикасына/Қырғыз Республикасынан Еуразиялық экономикалық одаққа мүше мемлекеттерден/мүше мемлекеттерге тасымалданатын жүктерге және Қазақстан Республикасы мен Қырғыз Республикасының арасында теміржол көлігімен тасымалданатын жүктерге қатысты қатынас түрлері бойынша біріздендірілген тарифтер (экспорттық, импорттық және мемлекетішілік тарифтер) туралы ережелерді қоса алғанда, Үйлестірілген (келісілген) көлік саясаты туралы хаттамаға (2014 жылғы 29 мамырдағы Еуразиялық экономикалық одақ туралы шартқа № 24 қосымша) № 2 қосымшаның ережелерін Тараптар осы Келісімнің 2-бабында көзделген уақытша қолдану күнінен бастап өзара қолданады.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қол қойылған күнінен бастап күнтізбелік 15 күн өткен соң уақытша қолданылады және Тараптардың әрқайсысының оның күшіне енуі үшін қажетті мемлекетішілік рәсімдерді орындағаны туралы олардың хабарламаларының соңғысы дипломатиялық арналар арқылы алынған күні күшіне енеді.</w:t>
      </w:r>
    </w:p>
    <w:p>
      <w:pPr>
        <w:spacing w:after="0"/>
        <w:ind w:left="0"/>
        <w:jc w:val="both"/>
      </w:pPr>
      <w:r>
        <w:rPr>
          <w:rFonts w:ascii="Times New Roman"/>
          <w:b w:val="false"/>
          <w:i w:val="false"/>
          <w:color w:val="000000"/>
          <w:sz w:val="28"/>
        </w:rPr>
        <w:t>
      Осы Келісім 2015 жылғы 8 мамырда қол қойылған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 1 қосымшаның 68-тармағында көрсетілген мерзім өткеннен кейін өз қолданысын тоқтатады.</w:t>
      </w:r>
    </w:p>
    <w:p>
      <w:pPr>
        <w:spacing w:after="0"/>
        <w:ind w:left="0"/>
        <w:jc w:val="both"/>
      </w:pPr>
      <w:r>
        <w:rPr>
          <w:rFonts w:ascii="Times New Roman"/>
          <w:b w:val="false"/>
          <w:i w:val="false"/>
          <w:color w:val="000000"/>
          <w:sz w:val="28"/>
        </w:rPr>
        <w:t>
      2016 жылғы 26 желтоқсанда Санкт-Петербург қаласында әрқайсысы қазақ, қырғыз және орыс тілдерінде екі данада жасалды. Бұл ретте барлық мәтіндердің күші бірдей.</w:t>
      </w:r>
    </w:p>
    <w:p>
      <w:pPr>
        <w:spacing w:after="0"/>
        <w:ind w:left="0"/>
        <w:jc w:val="both"/>
      </w:pPr>
      <w:r>
        <w:rPr>
          <w:rFonts w:ascii="Times New Roman"/>
          <w:b w:val="false"/>
          <w:i w:val="false"/>
          <w:color w:val="000000"/>
          <w:sz w:val="28"/>
        </w:rPr>
        <w:t>
      Мәтіндерде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