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4c4a" w14:textId="5ef4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19 мамырдағы № 277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w:t>
      </w:r>
    </w:p>
    <w:bookmarkStart w:name="z2" w:id="1"/>
    <w:p>
      <w:pPr>
        <w:spacing w:after="0"/>
        <w:ind w:left="0"/>
        <w:jc w:val="left"/>
      </w:pPr>
      <w:r>
        <w:rPr>
          <w:rFonts w:ascii="Times New Roman"/>
          <w:b/>
          <w:i w:val="false"/>
          <w:color w:val="000000"/>
        </w:rPr>
        <w:t xml:space="preserve"> 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хаттаманы ратификациялау туралы</w:t>
      </w:r>
    </w:p>
    <w:bookmarkEnd w:id="1"/>
    <w:bookmarkStart w:name="z3" w:id="2"/>
    <w:p>
      <w:pPr>
        <w:spacing w:after="0"/>
        <w:ind w:left="0"/>
        <w:jc w:val="both"/>
      </w:pPr>
      <w:r>
        <w:rPr>
          <w:rFonts w:ascii="Times New Roman"/>
          <w:b w:val="false"/>
          <w:i w:val="false"/>
          <w:color w:val="000000"/>
          <w:sz w:val="28"/>
        </w:rPr>
        <w:t>
      2017 жылғы 17 наурызда Мәскеуде жасалған 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хаттама ратификациялансын.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