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e2c3" w14:textId="b8ee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293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Алматы қаласы, Бостандық ауданы, И. Байзақов көшесі, № 303 үй мекенжайы бойынша орналасқан жалпы ауданы 26 575,7 шаршы метр әкімшілік ғимарат, жалпы ауданы 49,8 шаршы метр трансформаторлық кіші станция және жалпы ауданы 0,6312 га жер учаскесі республикалық меншіктен "Қазақстан Республикасы Сыртқы істер министрлігі" мемлекеттік мекемесінің теңгерімінен Алматы қаласының коммуналдық меншігіне заңнамада белгіленген тәртіппен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Сыртқы істер министрлігімен және Алматы қаласының әкімдігімен бірлесіп, заңнамада белгіленген тәртіппен осы қаулының 1-тармағында көрсетілген мүлікті қабылдау-беру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