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ccf2" w14:textId="266c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7 қыркүйектегі № 544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заңнамада белгіленген тәртіппен "Қостанай қаласының жылумен жабдықтау жүйелерінің инвестициялар негіздемесі" және "Жітіқара қаласының жылумен жабдықтау жүйелерінің  инвестициялар негіздемесі" инвестициялар негіздемесі жөніндегі мүлік республикалық меншіктен "Қазақстан Республикасы Инвестициялар және даму министрлігінің Құрылыс және тұрғын үй-коммуналдық шаруашылық істері комитеті" мемлекеттік мекемесінің теңгерімінен Қостанай облысының коммуналдық меншігіне берілсін.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Құрылыс және тұрғын үй-коммуналдық шаруашылық істері комитетімен және Қостанай облысының әкімдігімен бірлесіп, заңнамада белгіленген тәртіппен осы қаулыға 1 және 2-қосымшаларда көрсетілген мүлікті қабылдау-тапсыру жөніндегі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544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Республикалық меншіктен "Қазақстан Республикасы Инвестициялар  және даму министрлігінің Құрылыс және тұрғын үй-коммуналдық шаруашылық істері комитеті" мемлекеттік мекемесінің теңгерімінен  Қостанай облысының коммуналдық меншігіне берілетін мүліктің тізбесі "Қостанай қаласының жылумен жабдықтау жүйелеріне арнаған инвестициялар негіздемесі"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633"/>
        <w:gridCol w:w="2145"/>
        <w:gridCol w:w="904"/>
        <w:gridCol w:w="1552"/>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жылумен жабдықтау жүйелеріне арналған</w:t>
            </w:r>
            <w:r>
              <w:br/>
            </w:r>
            <w:r>
              <w:rPr>
                <w:rFonts w:ascii="Times New Roman"/>
                <w:b w:val="false"/>
                <w:i w:val="false"/>
                <w:color w:val="000000"/>
                <w:sz w:val="20"/>
              </w:rPr>
              <w:t>
инвестициялардың негіздемесі" инвестициялар негіздемесі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актілері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актілері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r>
              <w:br/>
            </w:r>
            <w:r>
              <w:rPr>
                <w:rFonts w:ascii="Times New Roman"/>
                <w:b w:val="false"/>
                <w:i w:val="false"/>
                <w:color w:val="000000"/>
                <w:sz w:val="20"/>
              </w:rPr>
              <w:t>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инженерлік-геологиялық жағдайы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 (ерекшеліктері)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есеп</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2015 жылғы 22 желтоқсандағы № 12-0366/15 қорытындысының түпнұсқасы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қыркүйектегі</w:t>
            </w:r>
            <w:r>
              <w:br/>
            </w:r>
            <w:r>
              <w:rPr>
                <w:rFonts w:ascii="Times New Roman"/>
                <w:b w:val="false"/>
                <w:i w:val="false"/>
                <w:color w:val="000000"/>
                <w:sz w:val="20"/>
              </w:rPr>
              <w:t>№ 544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Республикалық меншіктен "Қазақстан Республикасы Инвестициялар  және даму министрлігінің Құрылыс және тұрғын үй-коммуналдық шаруашылық істері комитеті" мемлекеттік мекемесінің теңгерімінен Қостанай облысының коммуналдық меншігіне берілетін мүліктің тізбесі "Жітіқара қаласының жылумен жабдықтау жүйелеріне арналған инвестициялар негіздемесі"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633"/>
        <w:gridCol w:w="2145"/>
        <w:gridCol w:w="904"/>
        <w:gridCol w:w="1552"/>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қаласының жылумен жабдықтау жүйелеріне арналған </w:t>
            </w:r>
            <w:r>
              <w:br/>
            </w:r>
            <w:r>
              <w:rPr>
                <w:rFonts w:ascii="Times New Roman"/>
                <w:b w:val="false"/>
                <w:i w:val="false"/>
                <w:color w:val="000000"/>
                <w:sz w:val="20"/>
              </w:rPr>
              <w:t xml:space="preserve">
инвестициялар негіздемесі" инвестициялар негіздемесі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түсіндірме жазба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түсіндірме жазба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1.1-том,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Гидравликалық есеп</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1.2-том,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 актілері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әсерін алдын ала бағалау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Аумақтардың инженерлік-геологиялық жағдайы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жиынтық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2-бөлік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құнының сметалық есептері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5-том,</w:t>
            </w:r>
            <w:r>
              <w:br/>
            </w:r>
            <w:r>
              <w:rPr>
                <w:rFonts w:ascii="Times New Roman"/>
                <w:b w:val="false"/>
                <w:i w:val="false"/>
                <w:color w:val="000000"/>
                <w:sz w:val="20"/>
              </w:rPr>
              <w:t>
3-бөлік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көлемінің ведомостары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6.1-том,</w:t>
            </w:r>
            <w:r>
              <w:br/>
            </w:r>
            <w:r>
              <w:rPr>
                <w:rFonts w:ascii="Times New Roman"/>
                <w:b w:val="false"/>
                <w:i w:val="false"/>
                <w:color w:val="000000"/>
                <w:sz w:val="20"/>
              </w:rPr>
              <w:t>
1-бөлік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(негізгі нұсқа)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Прайс-парақтар (балама нұсқа)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6.3-том</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сараптаманың  2016 жылғы 28 қарашадағы № 12-0437/16 қорытындысының түпнұсқасы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диск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