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5562" w14:textId="22e5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актісінің салдарынан жеке және заңды тұлғаларға келтірілген мүліктік зиянды өтеу қағидаларын бекіту туралы" Қазақстан Республикасы Үкіметінің 2013 жылғы 28 тамыздағы № 877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700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"Терроризм актісінің салдарынан жеке және заңды тұлғаларға келтірілген мүліктік зиянды өтеу қағидаларын бекіту туралы" Қазақстан Республикасы Үкіметінің 2013 жылғы 28 тамыздағы № 877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51, 715-құжат)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Терроризм актісінің салдарынан жеке және заңды тұлғаларға келтірілген мүліктік зиянды өтеу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Мүліктің құны мүлік иесіне  Қазақстан Республикасының Бюджет кодексінің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сондай-ақ Қазақстан Республикасы Үкіметінің 2015 жылғы 25 сәуірдегі № 325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және жергілікті атқарушы органдардың резервтерін пайдалану қағидаларына сәйкес жергілікті бюджеттерде ағымдағы қаржы жылына бекітілген көлем шегінде жергілікті атқарушы органдардың шұғыл шығындарға арналған резервтерінде көзделген қаражат есебінен жергілікті атқарушы органның ақша қаражатын төлеуі арқылы өтеледі.".</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