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d36f" w14:textId="719d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"Бейбітшілік және келісім музейі"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31 наурыздағы № 150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"Бейбітшілік және келісім музейі" республикалық мемлекеттік қазыналық кәсіпорны одан Қазақстан Республикасы Мәдениет және спорт министрлігінің "Бозоқ" мемлекеттік тарихи-мәдени музей-қорығы" республикалық мемлекеттік қазыналық кәсіпорнын және Қазақстан Республикасы Мәдениет және спорт министрлігінің "Ботай" мемлекеттік тарихи-мәдени музей-қорығы" республикалық мемлекеттік қазыналық кәсіпорнын (бұдан әрі – кәсіпорындар) бөлу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кәсіпорындарға қатысты мемлекеттік басқарудың тиісті саласына (аясына)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Кәсіпорындар қызметінің негізгі нысанасы мәдениет саласындағы қызмет болып белгіленсін.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спорт министрлігі заңнамада белгіленген тәртіппен: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кәсіпорындардың жарғыларын Қазақстан Республикасы Қаржы министрлігінің Мемлекеттік мүлік және жекешелендіру комитетіне бекітуге ұсынуды;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кәсіпорындардың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етсін.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