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77e7" w14:textId="bc07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қағидаларын бекіту туралы" Қазақстан Республикасы Үкіметінің 2009 жылғы 14 cәуірдегі № 514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2018 жылғы 3 сәуірдегі № 156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қағидаларын бекіту туралы" Қазақстан Республикасы Үкіметінің 2009 жылғы 14 сәуірдегі № 514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19, 170-құжат)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4-тармақ алып тасталсын.</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