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7030" w14:textId="b707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14 маусымдағы № 349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лимитті есептеу жалпы сипаттағы трансферттерді есептеу кезінде есепке алынған, түзету коэффициенттерін ескере отырып облыстың, республикалық маңызы бар қаланың, астананың жергілікті атқарушы органының жоспарланатын үш жылдық кезеңге арналған бюджеттік даму бағдарламаларының болжамына негізделе отырып жүзеге асырылады.";</w:t>
      </w:r>
    </w:p>
    <w:bookmarkEnd w:id="3"/>
    <w:bookmarkStart w:name="z6" w:id="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2-тармақ мынадай редакцияда жазылсын:</w:t>
      </w:r>
    </w:p>
    <w:bookmarkEnd w:id="5"/>
    <w:bookmarkStart w:name="z8" w:id="6"/>
    <w:p>
      <w:pPr>
        <w:spacing w:after="0"/>
        <w:ind w:left="0"/>
        <w:jc w:val="both"/>
      </w:pPr>
      <w:r>
        <w:rPr>
          <w:rFonts w:ascii="Times New Roman"/>
          <w:b w:val="false"/>
          <w:i w:val="false"/>
          <w:color w:val="000000"/>
          <w:sz w:val="28"/>
        </w:rPr>
        <w:t>
      "2. Айқындалатын лимит мынадай талапқа сәйкес болуға тиіс:</w:t>
      </w:r>
    </w:p>
    <w:bookmarkEnd w:id="6"/>
    <w:bookmarkStart w:name="z9" w:id="7"/>
    <w:p>
      <w:pPr>
        <w:spacing w:after="0"/>
        <w:ind w:left="0"/>
        <w:jc w:val="both"/>
      </w:pPr>
      <w:r>
        <w:rPr>
          <w:rFonts w:ascii="Times New Roman"/>
          <w:b w:val="false"/>
          <w:i w:val="false"/>
          <w:color w:val="000000"/>
          <w:sz w:val="28"/>
        </w:rPr>
        <w:t>
      Lslg &lt; MaxL*k, мұнда</w:t>
      </w:r>
    </w:p>
    <w:bookmarkEnd w:id="7"/>
    <w:bookmarkStart w:name="z10" w:id="8"/>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өзінің жоспарланатын үш жылдық кезеңге арналған жалпы сипаттағы трансферттерді есептеу кезінде ескерілген бюджеттік даму бағдарламаларының болжамына қатысты лимиті;</w:t>
      </w:r>
    </w:p>
    <w:bookmarkEnd w:id="8"/>
    <w:bookmarkStart w:name="z11" w:id="9"/>
    <w:p>
      <w:pPr>
        <w:spacing w:after="0"/>
        <w:ind w:left="0"/>
        <w:jc w:val="both"/>
      </w:pPr>
      <w:r>
        <w:rPr>
          <w:rFonts w:ascii="Times New Roman"/>
          <w:b w:val="false"/>
          <w:i w:val="false"/>
          <w:color w:val="000000"/>
          <w:sz w:val="28"/>
        </w:rPr>
        <w:t>
      MaxL - облыстың, республикалық маңызы бар қаланың, астананың жергілікті атқарушы органы борышының ең жоғары лимиті, ол жоспарланатын үш жылдық кезеңге арналған жалпы сипаттағы трансферттерді есептеу кезінде ескерілген бюджеттік даму бағдарламалары болжамының 100%-ын құрайды;</w:t>
      </w:r>
    </w:p>
    <w:bookmarkEnd w:id="9"/>
    <w:bookmarkStart w:name="z12" w:id="10"/>
    <w:p>
      <w:pPr>
        <w:spacing w:after="0"/>
        <w:ind w:left="0"/>
        <w:jc w:val="both"/>
      </w:pPr>
      <w:r>
        <w:rPr>
          <w:rFonts w:ascii="Times New Roman"/>
          <w:b w:val="false"/>
          <w:i w:val="false"/>
          <w:color w:val="000000"/>
          <w:sz w:val="28"/>
        </w:rPr>
        <w:t>
      k - облыстардың, республикалық маңызы бар қаланың, астананың жергілікті атқарушы органдары үшін түзету коэффициенті (к=0,8, республикалық бюджеттен бюджеттік субвенциялар алатын өңірлер үшін; к=1, республикалық бюджетке бюджеттік алып қоюларды аударатын өңірлер үшін).".</w:t>
      </w:r>
    </w:p>
    <w:bookmarkEnd w:id="10"/>
    <w:bookmarkStart w:name="z13" w:id="11"/>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